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93D7" w14:textId="4CB7CD44" w:rsidR="00566687" w:rsidRPr="00566687" w:rsidRDefault="00566687" w:rsidP="00566687">
      <w:pPr>
        <w:ind w:left="1440" w:firstLine="720"/>
        <w:rPr>
          <w:rFonts w:ascii="Calibri" w:hAnsi="Calibri" w:cs="Calibri"/>
          <w:b/>
          <w:bCs/>
          <w:color w:val="0D707D"/>
          <w:sz w:val="32"/>
          <w:szCs w:val="32"/>
          <w:lang w:val="en-GB"/>
        </w:rPr>
      </w:pPr>
      <w:r w:rsidRPr="00566687">
        <w:rPr>
          <w:b/>
          <w:bCs/>
          <w:noProof/>
          <w:color w:val="0D707D"/>
          <w:sz w:val="32"/>
          <w:szCs w:val="32"/>
        </w:rPr>
        <w:drawing>
          <wp:anchor distT="0" distB="0" distL="114300" distR="114300" simplePos="0" relativeHeight="251661312" behindDoc="0" locked="0" layoutInCell="1" allowOverlap="1" wp14:anchorId="54D7CFC0" wp14:editId="5DD9B086">
            <wp:simplePos x="0" y="0"/>
            <wp:positionH relativeFrom="margin">
              <wp:posOffset>-635</wp:posOffset>
            </wp:positionH>
            <wp:positionV relativeFrom="paragraph">
              <wp:posOffset>-447040</wp:posOffset>
            </wp:positionV>
            <wp:extent cx="1227455" cy="1227455"/>
            <wp:effectExtent l="0" t="0" r="0" b="0"/>
            <wp:wrapNone/>
            <wp:docPr id="687688654" name="Picture 2"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88654" name="Picture 2" descr="A logo with a bird flying&#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7455" cy="1227455"/>
                    </a:xfrm>
                    <a:prstGeom prst="rect">
                      <a:avLst/>
                    </a:prstGeom>
                  </pic:spPr>
                </pic:pic>
              </a:graphicData>
            </a:graphic>
          </wp:anchor>
        </w:drawing>
      </w:r>
      <w:r w:rsidRPr="00566687">
        <w:rPr>
          <w:rFonts w:ascii="Calibri" w:hAnsi="Calibri" w:cs="Calibri"/>
          <w:b/>
          <w:bCs/>
          <w:color w:val="0D707D"/>
          <w:sz w:val="32"/>
          <w:szCs w:val="32"/>
          <w:lang w:val="en-GB"/>
        </w:rPr>
        <w:t>Services for Rural and Remote Allied Health</w:t>
      </w:r>
    </w:p>
    <w:p w14:paraId="07A9807B" w14:textId="603EEED3" w:rsidR="00566687" w:rsidRPr="00FD4252" w:rsidRDefault="00FD4252" w:rsidP="00FD4252">
      <w:pPr>
        <w:spacing w:after="0"/>
        <w:ind w:left="2160"/>
        <w:rPr>
          <w:rFonts w:ascii="Calibri" w:hAnsi="Calibri" w:cs="Calibri"/>
          <w:b/>
          <w:bCs/>
          <w:color w:val="0D707D"/>
          <w:sz w:val="26"/>
          <w:szCs w:val="26"/>
          <w:lang w:val="en-GB"/>
        </w:rPr>
      </w:pPr>
      <w:r w:rsidRPr="00FD4252">
        <w:rPr>
          <w:rFonts w:ascii="Calibri" w:hAnsi="Calibri" w:cs="Calibri"/>
          <w:b/>
          <w:bCs/>
          <w:color w:val="0D707D"/>
          <w:sz w:val="26"/>
          <w:szCs w:val="26"/>
        </w:rPr>
        <w:t xml:space="preserve">The Allied Health Rural Generalist Education and Training Scheme (TAHRGETS) </w:t>
      </w:r>
      <w:r w:rsidR="00CF6640">
        <w:rPr>
          <w:rFonts w:ascii="Calibri" w:hAnsi="Calibri" w:cs="Calibri"/>
          <w:b/>
          <w:bCs/>
          <w:color w:val="0D707D"/>
          <w:sz w:val="26"/>
          <w:szCs w:val="26"/>
        </w:rPr>
        <w:t>e</w:t>
      </w:r>
      <w:r w:rsidR="0027361E" w:rsidRPr="00FD4252">
        <w:rPr>
          <w:rFonts w:ascii="Calibri" w:hAnsi="Calibri" w:cs="Calibri"/>
          <w:b/>
          <w:bCs/>
          <w:color w:val="0D707D"/>
          <w:sz w:val="26"/>
          <w:szCs w:val="26"/>
        </w:rPr>
        <w:t>valuation</w:t>
      </w:r>
      <w:r w:rsidR="0027361E">
        <w:rPr>
          <w:rFonts w:ascii="Calibri" w:hAnsi="Calibri" w:cs="Calibri"/>
          <w:b/>
          <w:bCs/>
          <w:color w:val="0D707D"/>
          <w:sz w:val="26"/>
          <w:szCs w:val="26"/>
        </w:rPr>
        <w:t xml:space="preserve"> </w:t>
      </w:r>
      <w:r w:rsidR="0001154F">
        <w:rPr>
          <w:rFonts w:ascii="Calibri" w:hAnsi="Calibri" w:cs="Calibri"/>
          <w:b/>
          <w:bCs/>
          <w:color w:val="0D707D"/>
          <w:sz w:val="26"/>
          <w:szCs w:val="26"/>
        </w:rPr>
        <w:t>outcomes</w:t>
      </w:r>
      <w:r>
        <w:rPr>
          <w:rFonts w:ascii="Calibri" w:hAnsi="Calibri" w:cs="Calibri"/>
          <w:b/>
          <w:bCs/>
          <w:color w:val="0D707D"/>
          <w:sz w:val="26"/>
          <w:szCs w:val="26"/>
        </w:rPr>
        <w:t xml:space="preserve">: Policy </w:t>
      </w:r>
      <w:r w:rsidR="00CF6640">
        <w:rPr>
          <w:rFonts w:ascii="Calibri" w:hAnsi="Calibri" w:cs="Calibri"/>
          <w:b/>
          <w:bCs/>
          <w:color w:val="0D707D"/>
          <w:sz w:val="26"/>
          <w:szCs w:val="26"/>
        </w:rPr>
        <w:t>b</w:t>
      </w:r>
      <w:r>
        <w:rPr>
          <w:rFonts w:ascii="Calibri" w:hAnsi="Calibri" w:cs="Calibri"/>
          <w:b/>
          <w:bCs/>
          <w:color w:val="0D707D"/>
          <w:sz w:val="26"/>
          <w:szCs w:val="26"/>
        </w:rPr>
        <w:t>rief</w:t>
      </w:r>
    </w:p>
    <w:p w14:paraId="0E2D2647" w14:textId="77777777" w:rsidR="00566687" w:rsidRPr="00826B32" w:rsidRDefault="00566687" w:rsidP="00FD4252">
      <w:pPr>
        <w:pBdr>
          <w:bottom w:val="single" w:sz="18" w:space="1" w:color="0D707D"/>
        </w:pBdr>
        <w:rPr>
          <w:rFonts w:ascii="Calibri" w:hAnsi="Calibri" w:cs="Calibri"/>
          <w:b/>
          <w:bCs/>
          <w:color w:val="0D707D"/>
          <w:sz w:val="22"/>
          <w:szCs w:val="22"/>
        </w:rPr>
      </w:pPr>
    </w:p>
    <w:p w14:paraId="021289A0" w14:textId="34E3F9C2" w:rsidR="00826B32" w:rsidRPr="00826B32" w:rsidRDefault="00826B32" w:rsidP="00E0288C">
      <w:pPr>
        <w:rPr>
          <w:rFonts w:ascii="Calibri" w:hAnsi="Calibri" w:cs="Calibri"/>
          <w:b/>
          <w:bCs/>
          <w:color w:val="0D707D"/>
          <w:sz w:val="22"/>
          <w:szCs w:val="22"/>
        </w:rPr>
      </w:pPr>
      <w:r w:rsidRPr="00826B32">
        <w:rPr>
          <w:rFonts w:ascii="Calibri" w:hAnsi="Calibri" w:cs="Calibri"/>
          <w:b/>
          <w:bCs/>
          <w:color w:val="0D707D"/>
          <w:sz w:val="22"/>
          <w:szCs w:val="22"/>
        </w:rPr>
        <w:t>Introduction:</w:t>
      </w:r>
    </w:p>
    <w:p w14:paraId="2757C612" w14:textId="6E1A5630" w:rsidR="00F04109" w:rsidRDefault="00D834E8" w:rsidP="00566687">
      <w:pPr>
        <w:rPr>
          <w:rFonts w:ascii="Calibri" w:hAnsi="Calibri" w:cs="Calibri"/>
          <w:sz w:val="22"/>
          <w:szCs w:val="22"/>
        </w:rPr>
      </w:pPr>
      <w:r>
        <w:rPr>
          <w:rFonts w:ascii="Calibri" w:hAnsi="Calibri" w:cs="Calibri"/>
          <w:sz w:val="22"/>
          <w:szCs w:val="22"/>
        </w:rPr>
        <w:t xml:space="preserve">Disparities in health outcomes between </w:t>
      </w:r>
      <w:r w:rsidR="00484A3F">
        <w:rPr>
          <w:rFonts w:ascii="Calibri" w:hAnsi="Calibri" w:cs="Calibri"/>
          <w:sz w:val="22"/>
          <w:szCs w:val="22"/>
        </w:rPr>
        <w:t>rural and urban populations in Australia are a long-standing issue</w:t>
      </w:r>
      <w:r w:rsidR="00ED0CD0">
        <w:rPr>
          <w:rStyle w:val="EndnoteReference"/>
          <w:rFonts w:ascii="Calibri" w:hAnsi="Calibri" w:cs="Calibri"/>
          <w:sz w:val="22"/>
          <w:szCs w:val="22"/>
        </w:rPr>
        <w:endnoteReference w:id="1"/>
      </w:r>
      <w:r w:rsidR="00484A3F">
        <w:rPr>
          <w:rFonts w:ascii="Calibri" w:hAnsi="Calibri" w:cs="Calibri"/>
          <w:sz w:val="22"/>
          <w:szCs w:val="22"/>
        </w:rPr>
        <w:t xml:space="preserve">.  Recruitment and retention challenges </w:t>
      </w:r>
      <w:r w:rsidR="00D57024">
        <w:rPr>
          <w:rFonts w:ascii="Calibri" w:hAnsi="Calibri" w:cs="Calibri"/>
          <w:sz w:val="22"/>
          <w:szCs w:val="22"/>
        </w:rPr>
        <w:t xml:space="preserve">and workforce maldistribution </w:t>
      </w:r>
      <w:r w:rsidR="0013189D">
        <w:rPr>
          <w:rFonts w:ascii="Calibri" w:hAnsi="Calibri" w:cs="Calibri"/>
          <w:sz w:val="22"/>
          <w:szCs w:val="22"/>
        </w:rPr>
        <w:t xml:space="preserve">of </w:t>
      </w:r>
      <w:r w:rsidR="00D57024">
        <w:rPr>
          <w:rFonts w:ascii="Calibri" w:hAnsi="Calibri" w:cs="Calibri"/>
          <w:sz w:val="22"/>
          <w:szCs w:val="22"/>
        </w:rPr>
        <w:t>allied health professionals</w:t>
      </w:r>
      <w:r w:rsidR="00872C46">
        <w:rPr>
          <w:rFonts w:ascii="Calibri" w:hAnsi="Calibri" w:cs="Calibri"/>
          <w:sz w:val="22"/>
          <w:szCs w:val="22"/>
        </w:rPr>
        <w:t>,</w:t>
      </w:r>
      <w:r w:rsidR="00D57024">
        <w:rPr>
          <w:rFonts w:ascii="Calibri" w:hAnsi="Calibri" w:cs="Calibri"/>
          <w:sz w:val="22"/>
          <w:szCs w:val="22"/>
        </w:rPr>
        <w:t xml:space="preserve"> </w:t>
      </w:r>
      <w:r w:rsidR="0042152E">
        <w:rPr>
          <w:rFonts w:ascii="Calibri" w:hAnsi="Calibri" w:cs="Calibri"/>
          <w:sz w:val="22"/>
          <w:szCs w:val="22"/>
        </w:rPr>
        <w:t>such as speech pathologists, diet</w:t>
      </w:r>
      <w:r w:rsidR="00872C46">
        <w:rPr>
          <w:rFonts w:ascii="Calibri" w:hAnsi="Calibri" w:cs="Calibri"/>
          <w:sz w:val="22"/>
          <w:szCs w:val="22"/>
        </w:rPr>
        <w:t xml:space="preserve">itians, physiotherapists and psychologists, </w:t>
      </w:r>
      <w:r w:rsidR="00D57024">
        <w:rPr>
          <w:rFonts w:ascii="Calibri" w:hAnsi="Calibri" w:cs="Calibri"/>
          <w:sz w:val="22"/>
          <w:szCs w:val="22"/>
        </w:rPr>
        <w:t xml:space="preserve">contributes </w:t>
      </w:r>
      <w:r w:rsidR="0013189D">
        <w:rPr>
          <w:rFonts w:ascii="Calibri" w:hAnsi="Calibri" w:cs="Calibri"/>
          <w:sz w:val="22"/>
          <w:szCs w:val="22"/>
        </w:rPr>
        <w:t>to inequities in healthcare access for rural and remote communities</w:t>
      </w:r>
      <w:r w:rsidR="00A53735">
        <w:rPr>
          <w:rStyle w:val="EndnoteReference"/>
          <w:rFonts w:ascii="Calibri" w:hAnsi="Calibri" w:cs="Calibri"/>
          <w:sz w:val="22"/>
          <w:szCs w:val="22"/>
        </w:rPr>
        <w:endnoteReference w:id="2"/>
      </w:r>
      <w:r w:rsidR="0013189D">
        <w:rPr>
          <w:rFonts w:ascii="Calibri" w:hAnsi="Calibri" w:cs="Calibri"/>
          <w:sz w:val="22"/>
          <w:szCs w:val="22"/>
        </w:rPr>
        <w:t>.</w:t>
      </w:r>
    </w:p>
    <w:p w14:paraId="3A0079CB" w14:textId="473FA00E" w:rsidR="00BF0817" w:rsidRDefault="000605C8" w:rsidP="00566687">
      <w:pPr>
        <w:rPr>
          <w:rFonts w:ascii="Calibri" w:hAnsi="Calibri" w:cs="Calibri"/>
          <w:sz w:val="22"/>
          <w:szCs w:val="22"/>
        </w:rPr>
      </w:pPr>
      <w:r w:rsidRPr="4F4C31E3">
        <w:rPr>
          <w:rFonts w:ascii="Calibri" w:hAnsi="Calibri" w:cs="Calibri"/>
          <w:sz w:val="22"/>
          <w:szCs w:val="22"/>
        </w:rPr>
        <w:t>The Allied Health Rural Generalist Training and Education Scheme (TAHRGETS) was funded by the Australian Department of Health</w:t>
      </w:r>
      <w:r w:rsidR="00A64AD7" w:rsidRPr="4F4C31E3">
        <w:rPr>
          <w:rFonts w:ascii="Calibri" w:hAnsi="Calibri" w:cs="Calibri"/>
          <w:sz w:val="22"/>
          <w:szCs w:val="22"/>
        </w:rPr>
        <w:t xml:space="preserve">, Disability and </w:t>
      </w:r>
      <w:r w:rsidRPr="4F4C31E3">
        <w:rPr>
          <w:rFonts w:ascii="Calibri" w:hAnsi="Calibri" w:cs="Calibri"/>
          <w:sz w:val="22"/>
          <w:szCs w:val="22"/>
        </w:rPr>
        <w:t>Age</w:t>
      </w:r>
      <w:r w:rsidR="00A64AD7" w:rsidRPr="4F4C31E3">
        <w:rPr>
          <w:rFonts w:ascii="Calibri" w:hAnsi="Calibri" w:cs="Calibri"/>
          <w:sz w:val="22"/>
          <w:szCs w:val="22"/>
        </w:rPr>
        <w:t>ing</w:t>
      </w:r>
      <w:r w:rsidRPr="4F4C31E3">
        <w:rPr>
          <w:rFonts w:ascii="Calibri" w:hAnsi="Calibri" w:cs="Calibri"/>
          <w:sz w:val="22"/>
          <w:szCs w:val="22"/>
        </w:rPr>
        <w:t xml:space="preserve"> </w:t>
      </w:r>
      <w:r w:rsidR="00927AD0" w:rsidRPr="4F4C31E3">
        <w:rPr>
          <w:rFonts w:ascii="Calibri" w:hAnsi="Calibri" w:cs="Calibri"/>
          <w:sz w:val="22"/>
          <w:szCs w:val="22"/>
        </w:rPr>
        <w:t>(DH</w:t>
      </w:r>
      <w:r w:rsidR="00A64AD7" w:rsidRPr="4F4C31E3">
        <w:rPr>
          <w:rFonts w:ascii="Calibri" w:hAnsi="Calibri" w:cs="Calibri"/>
          <w:sz w:val="22"/>
          <w:szCs w:val="22"/>
        </w:rPr>
        <w:t>DA</w:t>
      </w:r>
      <w:r w:rsidR="00927AD0" w:rsidRPr="4F4C31E3">
        <w:rPr>
          <w:rFonts w:ascii="Calibri" w:hAnsi="Calibri" w:cs="Calibri"/>
          <w:sz w:val="22"/>
          <w:szCs w:val="22"/>
        </w:rPr>
        <w:t xml:space="preserve">) </w:t>
      </w:r>
      <w:r w:rsidR="000F3CA8" w:rsidRPr="4F4C31E3">
        <w:rPr>
          <w:rFonts w:ascii="Calibri" w:hAnsi="Calibri" w:cs="Calibri"/>
          <w:sz w:val="22"/>
          <w:szCs w:val="22"/>
        </w:rPr>
        <w:t xml:space="preserve">between </w:t>
      </w:r>
      <w:r w:rsidR="00A64AD7" w:rsidRPr="4F4C31E3">
        <w:rPr>
          <w:rFonts w:ascii="Calibri" w:hAnsi="Calibri" w:cs="Calibri"/>
          <w:sz w:val="22"/>
          <w:szCs w:val="22"/>
        </w:rPr>
        <w:t>September 2021 and December 2025</w:t>
      </w:r>
      <w:r w:rsidRPr="4F4C31E3">
        <w:rPr>
          <w:rFonts w:ascii="Calibri" w:hAnsi="Calibri" w:cs="Calibri"/>
          <w:sz w:val="22"/>
          <w:szCs w:val="22"/>
        </w:rPr>
        <w:t xml:space="preserve">. TAHRGETS provided </w:t>
      </w:r>
      <w:r w:rsidR="00196FA3" w:rsidRPr="4F4C31E3">
        <w:rPr>
          <w:rFonts w:ascii="Calibri" w:hAnsi="Calibri" w:cs="Calibri"/>
          <w:sz w:val="22"/>
          <w:szCs w:val="22"/>
        </w:rPr>
        <w:t xml:space="preserve">funding for up to </w:t>
      </w:r>
      <w:r w:rsidRPr="4F4C31E3">
        <w:rPr>
          <w:rFonts w:ascii="Calibri" w:hAnsi="Calibri" w:cs="Calibri"/>
          <w:sz w:val="22"/>
          <w:szCs w:val="22"/>
        </w:rPr>
        <w:t xml:space="preserve">90 training </w:t>
      </w:r>
      <w:r w:rsidR="001D5742" w:rsidRPr="4F4C31E3">
        <w:rPr>
          <w:rFonts w:ascii="Calibri" w:hAnsi="Calibri" w:cs="Calibri"/>
          <w:sz w:val="22"/>
          <w:szCs w:val="22"/>
        </w:rPr>
        <w:t>packages</w:t>
      </w:r>
      <w:r w:rsidRPr="4F4C31E3">
        <w:rPr>
          <w:rFonts w:ascii="Calibri" w:hAnsi="Calibri" w:cs="Calibri"/>
          <w:sz w:val="22"/>
          <w:szCs w:val="22"/>
        </w:rPr>
        <w:t xml:space="preserve"> </w:t>
      </w:r>
      <w:r w:rsidR="00240871" w:rsidRPr="4F4C31E3">
        <w:rPr>
          <w:rFonts w:ascii="Calibri" w:hAnsi="Calibri" w:cs="Calibri"/>
          <w:sz w:val="22"/>
          <w:szCs w:val="22"/>
        </w:rPr>
        <w:t xml:space="preserve">to support </w:t>
      </w:r>
      <w:r w:rsidR="00AE086B" w:rsidRPr="4F4C31E3">
        <w:rPr>
          <w:rFonts w:ascii="Calibri" w:hAnsi="Calibri" w:cs="Calibri"/>
          <w:sz w:val="22"/>
          <w:szCs w:val="22"/>
        </w:rPr>
        <w:t>Allied Health R</w:t>
      </w:r>
      <w:r w:rsidR="00240871" w:rsidRPr="4F4C31E3">
        <w:rPr>
          <w:rFonts w:ascii="Calibri" w:hAnsi="Calibri" w:cs="Calibri"/>
          <w:sz w:val="22"/>
          <w:szCs w:val="22"/>
        </w:rPr>
        <w:t xml:space="preserve">ural </w:t>
      </w:r>
      <w:r w:rsidR="00AE086B" w:rsidRPr="4F4C31E3">
        <w:rPr>
          <w:rFonts w:ascii="Calibri" w:hAnsi="Calibri" w:cs="Calibri"/>
          <w:sz w:val="22"/>
          <w:szCs w:val="22"/>
        </w:rPr>
        <w:t>Generalist (AHRG) Training Positions</w:t>
      </w:r>
      <w:r w:rsidR="00240871" w:rsidRPr="4F4C31E3">
        <w:rPr>
          <w:rFonts w:ascii="Calibri" w:hAnsi="Calibri" w:cs="Calibri"/>
          <w:sz w:val="22"/>
          <w:szCs w:val="22"/>
        </w:rPr>
        <w:t xml:space="preserve"> in </w:t>
      </w:r>
      <w:r w:rsidRPr="4F4C31E3">
        <w:rPr>
          <w:rFonts w:ascii="Calibri" w:hAnsi="Calibri" w:cs="Calibri"/>
          <w:sz w:val="22"/>
          <w:szCs w:val="22"/>
        </w:rPr>
        <w:t xml:space="preserve">private and </w:t>
      </w:r>
      <w:r w:rsidR="009F6D52" w:rsidRPr="4F4C31E3">
        <w:rPr>
          <w:rFonts w:ascii="Calibri" w:hAnsi="Calibri" w:cs="Calibri"/>
          <w:sz w:val="22"/>
          <w:szCs w:val="22"/>
        </w:rPr>
        <w:t>non-government</w:t>
      </w:r>
      <w:r w:rsidRPr="4F4C31E3">
        <w:rPr>
          <w:rFonts w:ascii="Calibri" w:hAnsi="Calibri" w:cs="Calibri"/>
          <w:sz w:val="22"/>
          <w:szCs w:val="22"/>
        </w:rPr>
        <w:t xml:space="preserve"> </w:t>
      </w:r>
      <w:r w:rsidR="00240871" w:rsidRPr="4F4C31E3">
        <w:rPr>
          <w:rFonts w:ascii="Calibri" w:hAnsi="Calibri" w:cs="Calibri"/>
          <w:sz w:val="22"/>
          <w:szCs w:val="22"/>
        </w:rPr>
        <w:t>services in Modified Monash</w:t>
      </w:r>
      <w:r w:rsidR="00993177" w:rsidRPr="4F4C31E3">
        <w:rPr>
          <w:rFonts w:ascii="Calibri" w:hAnsi="Calibri" w:cs="Calibri"/>
          <w:sz w:val="22"/>
          <w:szCs w:val="22"/>
        </w:rPr>
        <w:t xml:space="preserve"> Model</w:t>
      </w:r>
      <w:r w:rsidR="00240871" w:rsidRPr="4F4C31E3">
        <w:rPr>
          <w:rFonts w:ascii="Calibri" w:hAnsi="Calibri" w:cs="Calibri"/>
          <w:sz w:val="22"/>
          <w:szCs w:val="22"/>
        </w:rPr>
        <w:t xml:space="preserve"> (MM</w:t>
      </w:r>
      <w:r w:rsidR="00993177" w:rsidRPr="4F4C31E3">
        <w:rPr>
          <w:rFonts w:ascii="Calibri" w:hAnsi="Calibri" w:cs="Calibri"/>
          <w:sz w:val="22"/>
          <w:szCs w:val="22"/>
        </w:rPr>
        <w:t>M</w:t>
      </w:r>
      <w:r w:rsidR="00240871" w:rsidRPr="4F4C31E3">
        <w:rPr>
          <w:rFonts w:ascii="Calibri" w:hAnsi="Calibri" w:cs="Calibri"/>
          <w:sz w:val="22"/>
          <w:szCs w:val="22"/>
        </w:rPr>
        <w:t>)</w:t>
      </w:r>
      <w:r w:rsidR="00993177" w:rsidRPr="4F4C31E3">
        <w:rPr>
          <w:rFonts w:ascii="Calibri" w:hAnsi="Calibri" w:cs="Calibri"/>
          <w:sz w:val="22"/>
          <w:szCs w:val="22"/>
        </w:rPr>
        <w:t xml:space="preserve"> </w:t>
      </w:r>
      <w:r w:rsidR="00CB2F01" w:rsidRPr="4F4C31E3">
        <w:rPr>
          <w:rFonts w:ascii="Calibri" w:hAnsi="Calibri" w:cs="Calibri"/>
          <w:sz w:val="22"/>
          <w:szCs w:val="22"/>
        </w:rPr>
        <w:t>3</w:t>
      </w:r>
      <w:r w:rsidR="00A437EE" w:rsidRPr="4F4C31E3">
        <w:rPr>
          <w:rFonts w:ascii="Calibri" w:hAnsi="Calibri" w:cs="Calibri"/>
          <w:sz w:val="22"/>
          <w:szCs w:val="22"/>
        </w:rPr>
        <w:t xml:space="preserve"> to </w:t>
      </w:r>
      <w:r w:rsidR="00CB2F01" w:rsidRPr="4F4C31E3">
        <w:rPr>
          <w:rFonts w:ascii="Calibri" w:hAnsi="Calibri" w:cs="Calibri"/>
          <w:sz w:val="22"/>
          <w:szCs w:val="22"/>
        </w:rPr>
        <w:t>7 locations</w:t>
      </w:r>
      <w:r w:rsidRPr="4F4C31E3">
        <w:rPr>
          <w:rFonts w:ascii="Calibri" w:hAnsi="Calibri" w:cs="Calibri"/>
          <w:sz w:val="22"/>
          <w:szCs w:val="22"/>
        </w:rPr>
        <w:t>.</w:t>
      </w:r>
      <w:r w:rsidR="00353049" w:rsidRPr="4F4C31E3">
        <w:rPr>
          <w:rFonts w:ascii="Calibri" w:hAnsi="Calibri" w:cs="Calibri"/>
          <w:sz w:val="22"/>
          <w:szCs w:val="22"/>
        </w:rPr>
        <w:t xml:space="preserve"> Flinders University </w:t>
      </w:r>
      <w:r w:rsidR="00F6756A" w:rsidRPr="4F4C31E3">
        <w:rPr>
          <w:rFonts w:ascii="Calibri" w:hAnsi="Calibri" w:cs="Calibri"/>
          <w:sz w:val="22"/>
          <w:szCs w:val="22"/>
        </w:rPr>
        <w:t>completed a</w:t>
      </w:r>
      <w:r w:rsidR="009B2E26" w:rsidRPr="4F4C31E3">
        <w:rPr>
          <w:rFonts w:ascii="Calibri" w:hAnsi="Calibri" w:cs="Calibri"/>
          <w:sz w:val="22"/>
          <w:szCs w:val="22"/>
        </w:rPr>
        <w:t xml:space="preserve"> mixed-methods</w:t>
      </w:r>
      <w:r w:rsidR="00353049" w:rsidRPr="4F4C31E3">
        <w:rPr>
          <w:rFonts w:ascii="Calibri" w:hAnsi="Calibri" w:cs="Calibri"/>
          <w:sz w:val="22"/>
          <w:szCs w:val="22"/>
        </w:rPr>
        <w:t xml:space="preserve"> </w:t>
      </w:r>
      <w:r w:rsidR="00DA36D7" w:rsidRPr="4F4C31E3">
        <w:rPr>
          <w:rFonts w:ascii="Calibri" w:hAnsi="Calibri" w:cs="Calibri"/>
          <w:sz w:val="22"/>
          <w:szCs w:val="22"/>
        </w:rPr>
        <w:t>research</w:t>
      </w:r>
      <w:r w:rsidR="009B2E26" w:rsidRPr="4F4C31E3">
        <w:rPr>
          <w:rFonts w:ascii="Calibri" w:hAnsi="Calibri" w:cs="Calibri"/>
          <w:sz w:val="22"/>
          <w:szCs w:val="22"/>
        </w:rPr>
        <w:t xml:space="preserve"> study</w:t>
      </w:r>
      <w:r w:rsidR="00DA36D7" w:rsidRPr="4F4C31E3">
        <w:rPr>
          <w:rFonts w:ascii="Calibri" w:hAnsi="Calibri" w:cs="Calibri"/>
          <w:sz w:val="22"/>
          <w:szCs w:val="22"/>
        </w:rPr>
        <w:t xml:space="preserve"> to evaluate the TAHRGETS scheme </w:t>
      </w:r>
      <w:r w:rsidR="00E677F3" w:rsidRPr="4F4C31E3">
        <w:rPr>
          <w:rFonts w:ascii="Calibri" w:hAnsi="Calibri" w:cs="Calibri"/>
          <w:sz w:val="22"/>
          <w:szCs w:val="22"/>
        </w:rPr>
        <w:t xml:space="preserve">against the </w:t>
      </w:r>
      <w:r w:rsidR="00DA36D7" w:rsidRPr="4F4C31E3">
        <w:rPr>
          <w:rFonts w:ascii="Calibri" w:hAnsi="Calibri" w:cs="Calibri"/>
          <w:sz w:val="22"/>
          <w:szCs w:val="22"/>
        </w:rPr>
        <w:t xml:space="preserve">objectives and outcomes outlined in the grant agreement, and to look at elements of program design that </w:t>
      </w:r>
      <w:r w:rsidR="00A2143E" w:rsidRPr="4F4C31E3">
        <w:rPr>
          <w:rFonts w:ascii="Calibri" w:hAnsi="Calibri" w:cs="Calibri"/>
          <w:sz w:val="22"/>
          <w:szCs w:val="22"/>
        </w:rPr>
        <w:t>worked</w:t>
      </w:r>
      <w:r w:rsidR="00DA36D7" w:rsidRPr="4F4C31E3">
        <w:rPr>
          <w:rFonts w:ascii="Calibri" w:hAnsi="Calibri" w:cs="Calibri"/>
          <w:sz w:val="22"/>
          <w:szCs w:val="22"/>
        </w:rPr>
        <w:t xml:space="preserve"> well and </w:t>
      </w:r>
      <w:r w:rsidR="00A2143E" w:rsidRPr="4F4C31E3">
        <w:rPr>
          <w:rFonts w:ascii="Calibri" w:hAnsi="Calibri" w:cs="Calibri"/>
          <w:sz w:val="22"/>
          <w:szCs w:val="22"/>
        </w:rPr>
        <w:t>could be improved</w:t>
      </w:r>
      <w:r w:rsidR="00DA36D7" w:rsidRPr="4F4C31E3">
        <w:rPr>
          <w:rFonts w:ascii="Calibri" w:hAnsi="Calibri" w:cs="Calibri"/>
          <w:sz w:val="22"/>
          <w:szCs w:val="22"/>
        </w:rPr>
        <w:t xml:space="preserve">. </w:t>
      </w:r>
      <w:r w:rsidR="00BF0817" w:rsidRPr="4F4C31E3">
        <w:rPr>
          <w:rFonts w:ascii="Calibri" w:hAnsi="Calibri" w:cs="Calibri"/>
          <w:sz w:val="22"/>
          <w:szCs w:val="22"/>
        </w:rPr>
        <w:t xml:space="preserve">Funding for </w:t>
      </w:r>
      <w:r w:rsidR="00E84757" w:rsidRPr="4F4C31E3">
        <w:rPr>
          <w:rFonts w:ascii="Calibri" w:hAnsi="Calibri" w:cs="Calibri"/>
          <w:sz w:val="22"/>
          <w:szCs w:val="22"/>
        </w:rPr>
        <w:t>the evaluation</w:t>
      </w:r>
      <w:r w:rsidR="00BF0817" w:rsidRPr="4F4C31E3">
        <w:rPr>
          <w:rFonts w:ascii="Calibri" w:hAnsi="Calibri" w:cs="Calibri"/>
          <w:sz w:val="22"/>
          <w:szCs w:val="22"/>
        </w:rPr>
        <w:t xml:space="preserve"> </w:t>
      </w:r>
      <w:r w:rsidR="00A2143E" w:rsidRPr="4F4C31E3">
        <w:rPr>
          <w:rFonts w:ascii="Calibri" w:hAnsi="Calibri" w:cs="Calibri"/>
          <w:sz w:val="22"/>
          <w:szCs w:val="22"/>
        </w:rPr>
        <w:t>w</w:t>
      </w:r>
      <w:r w:rsidR="00BF0817" w:rsidRPr="4F4C31E3">
        <w:rPr>
          <w:rFonts w:ascii="Calibri" w:hAnsi="Calibri" w:cs="Calibri"/>
          <w:sz w:val="22"/>
          <w:szCs w:val="22"/>
        </w:rPr>
        <w:t xml:space="preserve">as provided by </w:t>
      </w:r>
      <w:r w:rsidR="00927AD0" w:rsidRPr="4F4C31E3">
        <w:rPr>
          <w:rFonts w:ascii="Calibri" w:hAnsi="Calibri" w:cs="Calibri"/>
          <w:sz w:val="22"/>
          <w:szCs w:val="22"/>
        </w:rPr>
        <w:t>DH</w:t>
      </w:r>
      <w:r w:rsidR="00A64AD7" w:rsidRPr="4F4C31E3">
        <w:rPr>
          <w:rFonts w:ascii="Calibri" w:hAnsi="Calibri" w:cs="Calibri"/>
          <w:sz w:val="22"/>
          <w:szCs w:val="22"/>
        </w:rPr>
        <w:t>DA</w:t>
      </w:r>
      <w:r w:rsidR="00BF0817" w:rsidRPr="4F4C31E3">
        <w:rPr>
          <w:rFonts w:ascii="Calibri" w:hAnsi="Calibri" w:cs="Calibri"/>
          <w:sz w:val="22"/>
          <w:szCs w:val="22"/>
        </w:rPr>
        <w:t>.</w:t>
      </w:r>
    </w:p>
    <w:p w14:paraId="09E1AD98" w14:textId="19CF86CA" w:rsidR="004E0AE2" w:rsidRPr="009B2E26" w:rsidRDefault="009B2E26" w:rsidP="00566687">
      <w:pPr>
        <w:rPr>
          <w:rFonts w:ascii="Calibri" w:hAnsi="Calibri" w:cs="Calibri"/>
          <w:b/>
          <w:bCs/>
          <w:color w:val="0D707D"/>
          <w:sz w:val="22"/>
          <w:szCs w:val="22"/>
        </w:rPr>
      </w:pPr>
      <w:r w:rsidRPr="009B2E26">
        <w:rPr>
          <w:rFonts w:ascii="Calibri" w:hAnsi="Calibri" w:cs="Calibri"/>
          <w:b/>
          <w:bCs/>
          <w:color w:val="0D707D"/>
          <w:sz w:val="22"/>
          <w:szCs w:val="22"/>
        </w:rPr>
        <w:t>Background:</w:t>
      </w:r>
      <w:r w:rsidR="006E522A" w:rsidRPr="006E522A">
        <w:rPr>
          <w:rFonts w:ascii="Times New Roman" w:hAnsi="Times New Roman" w:cs="Times New Roman"/>
          <w:noProof/>
          <w:lang w:eastAsia="en-AU"/>
        </w:rPr>
        <w:t xml:space="preserve"> </w:t>
      </w:r>
    </w:p>
    <w:p w14:paraId="3080F7BE" w14:textId="311C957C" w:rsidR="00566687" w:rsidRPr="00566687" w:rsidRDefault="00566687" w:rsidP="00566687">
      <w:pPr>
        <w:rPr>
          <w:rFonts w:ascii="Calibri" w:hAnsi="Calibri" w:cs="Calibri"/>
          <w:sz w:val="22"/>
          <w:szCs w:val="22"/>
        </w:rPr>
      </w:pPr>
      <w:r w:rsidRPr="00566687">
        <w:rPr>
          <w:rFonts w:ascii="Calibri" w:hAnsi="Calibri" w:cs="Calibri"/>
          <w:b/>
          <w:bCs/>
          <w:sz w:val="22"/>
          <w:szCs w:val="22"/>
        </w:rPr>
        <w:t>Rural Generalists</w:t>
      </w:r>
      <w:r w:rsidRPr="00566687">
        <w:rPr>
          <w:rFonts w:ascii="Calibri" w:hAnsi="Calibri" w:cs="Calibri"/>
          <w:sz w:val="22"/>
          <w:szCs w:val="22"/>
        </w:rPr>
        <w:t xml:space="preserve"> are health professionals trained to work across a broad range of clinical presentations, age groups, and settings, with specialised skills tailored to meet the unique needs of rural and remote communities.  Rural generalists work within the scope of practice and regulatory instruments of their profession and the policies of their employer.</w:t>
      </w:r>
    </w:p>
    <w:p w14:paraId="3531A5DB" w14:textId="081892F3" w:rsidR="00566687" w:rsidRPr="00566687" w:rsidRDefault="000A5FBA" w:rsidP="00566687">
      <w:pPr>
        <w:rPr>
          <w:rFonts w:ascii="Calibri" w:hAnsi="Calibri" w:cs="Calibri"/>
          <w:sz w:val="22"/>
          <w:szCs w:val="22"/>
        </w:rPr>
      </w:pPr>
      <w:r>
        <w:rPr>
          <w:rFonts w:ascii="Calibri" w:hAnsi="Calibri" w:cs="Calibri"/>
          <w:b/>
          <w:bCs/>
          <w:noProof/>
          <w:sz w:val="22"/>
          <w:szCs w:val="22"/>
        </w:rPr>
        <w:drawing>
          <wp:anchor distT="0" distB="0" distL="114300" distR="114300" simplePos="0" relativeHeight="251660287" behindDoc="0" locked="0" layoutInCell="1" allowOverlap="1" wp14:anchorId="2066597A" wp14:editId="365550D3">
            <wp:simplePos x="0" y="0"/>
            <wp:positionH relativeFrom="margin">
              <wp:posOffset>3800475</wp:posOffset>
            </wp:positionH>
            <wp:positionV relativeFrom="paragraph">
              <wp:posOffset>397510</wp:posOffset>
            </wp:positionV>
            <wp:extent cx="2371725" cy="2200275"/>
            <wp:effectExtent l="0" t="0" r="0" b="0"/>
            <wp:wrapSquare wrapText="bothSides"/>
            <wp:docPr id="1537042075" name="Picture 2" descr="A diagram of training posi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42075" name="Picture 2" descr="A diagram of training position&#10;&#10;AI-generated content may be incorrect."/>
                    <pic:cNvPicPr/>
                  </pic:nvPicPr>
                  <pic:blipFill rotWithShape="1">
                    <a:blip r:embed="rId9" cstate="print">
                      <a:extLst>
                        <a:ext uri="{28A0092B-C50C-407E-A947-70E740481C1C}">
                          <a14:useLocalDpi xmlns:a14="http://schemas.microsoft.com/office/drawing/2010/main" val="0"/>
                        </a:ext>
                      </a:extLst>
                    </a:blip>
                    <a:srcRect t="7229"/>
                    <a:stretch/>
                  </pic:blipFill>
                  <pic:spPr bwMode="auto">
                    <a:xfrm>
                      <a:off x="0" y="0"/>
                      <a:ext cx="2371725" cy="2200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288C" w:rsidRPr="00E0288C">
        <w:rPr>
          <w:rFonts w:ascii="Calibri" w:hAnsi="Calibri" w:cs="Calibri"/>
          <w:b/>
          <w:bCs/>
          <w:sz w:val="22"/>
          <w:szCs w:val="22"/>
        </w:rPr>
        <w:t>The Allied Health Rural Generalist Pathway (the Pathway)</w:t>
      </w:r>
      <w:r w:rsidR="00E0288C" w:rsidRPr="00E0288C">
        <w:rPr>
          <w:rFonts w:ascii="Calibri" w:hAnsi="Calibri" w:cs="Calibri"/>
          <w:sz w:val="22"/>
          <w:szCs w:val="22"/>
        </w:rPr>
        <w:t xml:space="preserve"> is a workforce, service and education strategy to increase access to a skilled allied health workforce for rural and remote communities.</w:t>
      </w:r>
    </w:p>
    <w:p w14:paraId="17698D56" w14:textId="638D854C" w:rsidR="00566687" w:rsidRPr="00566687" w:rsidRDefault="00566687" w:rsidP="00566687">
      <w:pPr>
        <w:rPr>
          <w:rFonts w:ascii="Calibri" w:hAnsi="Calibri" w:cs="Calibri"/>
          <w:sz w:val="22"/>
          <w:szCs w:val="22"/>
        </w:rPr>
      </w:pPr>
      <w:r w:rsidRPr="00566687">
        <w:rPr>
          <w:rFonts w:ascii="Calibri" w:hAnsi="Calibri" w:cs="Calibri"/>
          <w:sz w:val="22"/>
          <w:szCs w:val="22"/>
        </w:rPr>
        <w:t xml:space="preserve">The </w:t>
      </w:r>
      <w:r w:rsidR="007214F3">
        <w:rPr>
          <w:rFonts w:ascii="Calibri" w:hAnsi="Calibri" w:cs="Calibri"/>
          <w:sz w:val="22"/>
          <w:szCs w:val="22"/>
        </w:rPr>
        <w:t>outcomes</w:t>
      </w:r>
      <w:r w:rsidR="007214F3" w:rsidRPr="00566687">
        <w:rPr>
          <w:rFonts w:ascii="Calibri" w:hAnsi="Calibri" w:cs="Calibri"/>
          <w:sz w:val="22"/>
          <w:szCs w:val="22"/>
        </w:rPr>
        <w:t xml:space="preserve"> </w:t>
      </w:r>
      <w:r w:rsidRPr="00566687">
        <w:rPr>
          <w:rFonts w:ascii="Calibri" w:hAnsi="Calibri" w:cs="Calibri"/>
          <w:sz w:val="22"/>
          <w:szCs w:val="22"/>
        </w:rPr>
        <w:t xml:space="preserve">of </w:t>
      </w:r>
      <w:r w:rsidR="00161D52" w:rsidRPr="00116363">
        <w:rPr>
          <w:rFonts w:ascii="Calibri" w:hAnsi="Calibri" w:cs="Calibri"/>
          <w:b/>
          <w:bCs/>
          <w:sz w:val="22"/>
          <w:szCs w:val="22"/>
        </w:rPr>
        <w:t>Allied Health Rural Generalist Training and Education Scheme (TAHRGETS)</w:t>
      </w:r>
      <w:r w:rsidRPr="00566687">
        <w:rPr>
          <w:rFonts w:ascii="Calibri" w:hAnsi="Calibri" w:cs="Calibri"/>
          <w:sz w:val="22"/>
          <w:szCs w:val="22"/>
        </w:rPr>
        <w:t xml:space="preserve"> </w:t>
      </w:r>
      <w:r w:rsidR="007214F3">
        <w:rPr>
          <w:rFonts w:ascii="Calibri" w:hAnsi="Calibri" w:cs="Calibri"/>
          <w:sz w:val="22"/>
          <w:szCs w:val="22"/>
        </w:rPr>
        <w:t>agreed with</w:t>
      </w:r>
      <w:r w:rsidR="00C96763">
        <w:rPr>
          <w:rFonts w:ascii="Calibri" w:hAnsi="Calibri" w:cs="Calibri"/>
          <w:sz w:val="22"/>
          <w:szCs w:val="22"/>
        </w:rPr>
        <w:t xml:space="preserve"> DH</w:t>
      </w:r>
      <w:r w:rsidR="00CD4510">
        <w:rPr>
          <w:rFonts w:ascii="Calibri" w:hAnsi="Calibri" w:cs="Calibri"/>
          <w:sz w:val="22"/>
          <w:szCs w:val="22"/>
        </w:rPr>
        <w:t>D</w:t>
      </w:r>
      <w:r w:rsidR="00C96763">
        <w:rPr>
          <w:rFonts w:ascii="Calibri" w:hAnsi="Calibri" w:cs="Calibri"/>
          <w:sz w:val="22"/>
          <w:szCs w:val="22"/>
        </w:rPr>
        <w:t>A were</w:t>
      </w:r>
      <w:r w:rsidR="006E522A">
        <w:rPr>
          <w:rFonts w:ascii="Calibri" w:hAnsi="Calibri" w:cs="Calibri"/>
          <w:sz w:val="22"/>
          <w:szCs w:val="22"/>
        </w:rPr>
        <w:t xml:space="preserve"> to</w:t>
      </w:r>
      <w:r w:rsidRPr="00566687">
        <w:rPr>
          <w:rFonts w:ascii="Calibri" w:hAnsi="Calibri" w:cs="Calibri"/>
          <w:sz w:val="22"/>
          <w:szCs w:val="22"/>
        </w:rPr>
        <w:t>:</w:t>
      </w:r>
    </w:p>
    <w:p w14:paraId="312768B7" w14:textId="3C228DC1" w:rsidR="0064746A" w:rsidRPr="00270F14" w:rsidRDefault="0064746A" w:rsidP="00270F14">
      <w:pPr>
        <w:pStyle w:val="ListParagraph"/>
        <w:numPr>
          <w:ilvl w:val="0"/>
          <w:numId w:val="10"/>
        </w:numPr>
        <w:spacing w:after="0"/>
        <w:rPr>
          <w:rFonts w:ascii="Calibri" w:hAnsi="Calibri" w:cs="Calibri"/>
          <w:sz w:val="22"/>
          <w:szCs w:val="22"/>
        </w:rPr>
      </w:pPr>
      <w:r w:rsidRPr="00270F14">
        <w:rPr>
          <w:rFonts w:ascii="Calibri" w:hAnsi="Calibri" w:cs="Calibri"/>
          <w:sz w:val="22"/>
          <w:szCs w:val="22"/>
        </w:rPr>
        <w:t xml:space="preserve">Provide support to private and not for profit service providers, to build capacity and expand allied health service delivery in rural and remote locations. </w:t>
      </w:r>
    </w:p>
    <w:p w14:paraId="4FE90D6B" w14:textId="222FEAFC" w:rsidR="0064746A" w:rsidRPr="00270F14" w:rsidRDefault="0064746A" w:rsidP="00270F14">
      <w:pPr>
        <w:pStyle w:val="ListParagraph"/>
        <w:numPr>
          <w:ilvl w:val="0"/>
          <w:numId w:val="10"/>
        </w:numPr>
        <w:spacing w:after="0"/>
        <w:rPr>
          <w:rFonts w:ascii="Calibri" w:hAnsi="Calibri" w:cs="Calibri"/>
          <w:sz w:val="22"/>
          <w:szCs w:val="22"/>
        </w:rPr>
      </w:pPr>
      <w:r w:rsidRPr="00270F14">
        <w:rPr>
          <w:rFonts w:ascii="Calibri" w:hAnsi="Calibri" w:cs="Calibri"/>
          <w:sz w:val="22"/>
          <w:szCs w:val="22"/>
        </w:rPr>
        <w:t xml:space="preserve">Increase the number of allied health rural generalists in rural and remote locations as well as practices offering greater access through an extended range of services. </w:t>
      </w:r>
    </w:p>
    <w:p w14:paraId="3AB4B303" w14:textId="14A4F810" w:rsidR="0064746A" w:rsidRPr="00270F14" w:rsidRDefault="00D61334" w:rsidP="00270F14">
      <w:pPr>
        <w:pStyle w:val="ListParagraph"/>
        <w:numPr>
          <w:ilvl w:val="0"/>
          <w:numId w:val="10"/>
        </w:numPr>
        <w:spacing w:after="0"/>
        <w:rPr>
          <w:rFonts w:ascii="Calibri" w:hAnsi="Calibri" w:cs="Calibri"/>
          <w:sz w:val="22"/>
          <w:szCs w:val="22"/>
        </w:rPr>
      </w:pPr>
      <w:r w:rsidRPr="00A910F2">
        <w:rPr>
          <w:rFonts w:ascii="Times New Roman" w:hAnsi="Times New Roman" w:cs="Times New Roman"/>
          <w:noProof/>
          <w:lang w:eastAsia="en-AU"/>
        </w:rPr>
        <mc:AlternateContent>
          <mc:Choice Requires="wps">
            <w:drawing>
              <wp:anchor distT="0" distB="0" distL="114300" distR="114300" simplePos="0" relativeHeight="251663360" behindDoc="0" locked="0" layoutInCell="1" allowOverlap="1" wp14:anchorId="42EE7406" wp14:editId="45580A95">
                <wp:simplePos x="0" y="0"/>
                <wp:positionH relativeFrom="column">
                  <wp:posOffset>4413250</wp:posOffset>
                </wp:positionH>
                <wp:positionV relativeFrom="paragraph">
                  <wp:posOffset>138430</wp:posOffset>
                </wp:positionV>
                <wp:extent cx="1350645" cy="276225"/>
                <wp:effectExtent l="0" t="0" r="1905" b="0"/>
                <wp:wrapNone/>
                <wp:docPr id="1" name="Text Box 1"/>
                <wp:cNvGraphicFramePr/>
                <a:graphic xmlns:a="http://schemas.openxmlformats.org/drawingml/2006/main">
                  <a:graphicData uri="http://schemas.microsoft.com/office/word/2010/wordprocessingShape">
                    <wps:wsp>
                      <wps:cNvSpPr txBox="1"/>
                      <wps:spPr>
                        <a:xfrm>
                          <a:off x="0" y="0"/>
                          <a:ext cx="1350645" cy="276225"/>
                        </a:xfrm>
                        <a:prstGeom prst="rect">
                          <a:avLst/>
                        </a:prstGeom>
                        <a:solidFill>
                          <a:prstClr val="white"/>
                        </a:solidFill>
                        <a:ln>
                          <a:noFill/>
                        </a:ln>
                      </wps:spPr>
                      <wps:txbx>
                        <w:txbxContent>
                          <w:p w14:paraId="2DD0A5E3" w14:textId="7A5A0028" w:rsidR="006E522A" w:rsidRDefault="006E522A" w:rsidP="006E522A">
                            <w:pPr>
                              <w:pStyle w:val="Caption"/>
                              <w:rPr>
                                <w:sz w:val="22"/>
                                <w:szCs w:val="22"/>
                              </w:rPr>
                            </w:pPr>
                            <w:r>
                              <w:t xml:space="preserve">Figure 1. </w:t>
                            </w:r>
                            <w:r w:rsidR="00CD4510">
                              <w:t>Elements of a</w:t>
                            </w:r>
                            <w:r w:rsidR="00D61334">
                              <w:t xml:space="preserve">n </w:t>
                            </w:r>
                            <w:r>
                              <w:t xml:space="preserve">AHRG </w:t>
                            </w:r>
                            <w:r w:rsidR="00CD4510">
                              <w:t>Training Position</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2EE7406" id="_x0000_t202" coordsize="21600,21600" o:spt="202" path="m,l,21600r21600,l21600,xe">
                <v:stroke joinstyle="miter"/>
                <v:path gradientshapeok="t" o:connecttype="rect"/>
              </v:shapetype>
              <v:shape id="Text Box 1" o:spid="_x0000_s1026" type="#_x0000_t202" style="position:absolute;left:0;text-align:left;margin-left:347.5pt;margin-top:10.9pt;width:106.3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" stroked="f">
                <v:textbox style="mso-fit-shape-to-text:t" inset="0,0,0,0">
                  <w:txbxContent>
                    <w:p w14:paraId="2DD0A5E3" w14:textId="7A5A0028" w:rsidR="006E522A" w:rsidRDefault="006E522A" w:rsidP="006E522A">
                      <w:pPr>
                        <w:pStyle w:val="Caption"/>
                        <w:rPr>
                          <w:sz w:val="22"/>
                          <w:szCs w:val="22"/>
                        </w:rPr>
                      </w:pPr>
                      <w:r>
                        <w:t xml:space="preserve">Figure 1. </w:t>
                      </w:r>
                      <w:r w:rsidR="00CD4510">
                        <w:t>Elements of a</w:t>
                      </w:r>
                      <w:r w:rsidR="00D61334">
                        <w:t xml:space="preserve">n </w:t>
                      </w:r>
                      <w:r>
                        <w:t xml:space="preserve">AHRG </w:t>
                      </w:r>
                      <w:r w:rsidR="00CD4510">
                        <w:t>Training Position</w:t>
                      </w:r>
                    </w:p>
                  </w:txbxContent>
                </v:textbox>
              </v:shape>
            </w:pict>
          </mc:Fallback>
        </mc:AlternateContent>
      </w:r>
      <w:r w:rsidR="0064746A" w:rsidRPr="00270F14">
        <w:rPr>
          <w:rFonts w:ascii="Calibri" w:hAnsi="Calibri" w:cs="Calibri"/>
          <w:sz w:val="22"/>
          <w:szCs w:val="22"/>
        </w:rPr>
        <w:t>Develop career pathways</w:t>
      </w:r>
      <w:r w:rsidR="00283C35" w:rsidRPr="00270F14">
        <w:rPr>
          <w:rFonts w:ascii="Calibri" w:hAnsi="Calibri" w:cs="Calibri"/>
          <w:sz w:val="22"/>
          <w:szCs w:val="22"/>
        </w:rPr>
        <w:t xml:space="preserve"> </w:t>
      </w:r>
      <w:r w:rsidR="0064746A" w:rsidRPr="00270F14">
        <w:rPr>
          <w:rFonts w:ascii="Calibri" w:hAnsi="Calibri" w:cs="Calibri"/>
          <w:sz w:val="22"/>
          <w:szCs w:val="22"/>
        </w:rPr>
        <w:t xml:space="preserve">and improve the retention of allied health professionals working in rural and remote areas. </w:t>
      </w:r>
    </w:p>
    <w:p w14:paraId="4D7336BB" w14:textId="771DEED5" w:rsidR="003D1693" w:rsidRPr="006117D3" w:rsidRDefault="00764BDD" w:rsidP="00116363">
      <w:pPr>
        <w:spacing w:line="257" w:lineRule="auto"/>
        <w:rPr>
          <w:rFonts w:ascii="Calibri" w:hAnsi="Calibri" w:cs="Calibri"/>
          <w:sz w:val="22"/>
          <w:szCs w:val="22"/>
        </w:rPr>
      </w:pPr>
      <w:r>
        <w:rPr>
          <w:rFonts w:ascii="Calibri" w:hAnsi="Calibri" w:cs="Calibri"/>
          <w:sz w:val="22"/>
          <w:szCs w:val="22"/>
        </w:rPr>
        <w:br/>
      </w:r>
      <w:r w:rsidR="00CB2F01" w:rsidRPr="006117D3">
        <w:rPr>
          <w:rFonts w:ascii="Calibri" w:hAnsi="Calibri" w:cs="Calibri"/>
          <w:sz w:val="22"/>
          <w:szCs w:val="22"/>
        </w:rPr>
        <w:t>Training packages enable</w:t>
      </w:r>
      <w:r w:rsidR="0024458A" w:rsidRPr="006117D3">
        <w:rPr>
          <w:rFonts w:ascii="Calibri" w:hAnsi="Calibri" w:cs="Calibri"/>
          <w:sz w:val="22"/>
          <w:szCs w:val="22"/>
        </w:rPr>
        <w:t>d</w:t>
      </w:r>
      <w:r w:rsidR="00CB2F01" w:rsidRPr="006117D3">
        <w:rPr>
          <w:rFonts w:ascii="Calibri" w:hAnsi="Calibri" w:cs="Calibri"/>
          <w:sz w:val="22"/>
          <w:szCs w:val="22"/>
        </w:rPr>
        <w:t xml:space="preserve"> workplaces </w:t>
      </w:r>
      <w:r w:rsidR="0024458A" w:rsidRPr="006117D3">
        <w:rPr>
          <w:rFonts w:ascii="Calibri" w:hAnsi="Calibri" w:cs="Calibri"/>
          <w:sz w:val="22"/>
          <w:szCs w:val="22"/>
        </w:rPr>
        <w:t xml:space="preserve">to support </w:t>
      </w:r>
      <w:r w:rsidR="003E77D4" w:rsidRPr="006117D3">
        <w:rPr>
          <w:rFonts w:ascii="Calibri" w:hAnsi="Calibri" w:cs="Calibri"/>
          <w:sz w:val="22"/>
          <w:szCs w:val="22"/>
        </w:rPr>
        <w:t xml:space="preserve">the </w:t>
      </w:r>
      <w:r w:rsidR="00970806" w:rsidRPr="006117D3">
        <w:rPr>
          <w:rFonts w:ascii="Calibri" w:hAnsi="Calibri" w:cs="Calibri"/>
          <w:sz w:val="22"/>
          <w:szCs w:val="22"/>
        </w:rPr>
        <w:t>direct costs</w:t>
      </w:r>
      <w:r w:rsidR="003E77D4" w:rsidRPr="006117D3">
        <w:rPr>
          <w:rFonts w:ascii="Calibri" w:hAnsi="Calibri" w:cs="Calibri"/>
          <w:sz w:val="22"/>
          <w:szCs w:val="22"/>
        </w:rPr>
        <w:t xml:space="preserve"> of </w:t>
      </w:r>
      <w:r w:rsidR="003B65DD" w:rsidRPr="006117D3">
        <w:rPr>
          <w:rFonts w:ascii="Calibri" w:hAnsi="Calibri" w:cs="Calibri"/>
          <w:sz w:val="22"/>
          <w:szCs w:val="22"/>
        </w:rPr>
        <w:t>AHRG Training Positions</w:t>
      </w:r>
      <w:r w:rsidR="00970806" w:rsidRPr="006117D3">
        <w:rPr>
          <w:rFonts w:ascii="Calibri" w:hAnsi="Calibri" w:cs="Calibri"/>
          <w:sz w:val="22"/>
          <w:szCs w:val="22"/>
        </w:rPr>
        <w:t xml:space="preserve"> and offset the organisational impact</w:t>
      </w:r>
      <w:r w:rsidR="00291CC5" w:rsidRPr="006117D3">
        <w:rPr>
          <w:rFonts w:ascii="Calibri" w:hAnsi="Calibri" w:cs="Calibri"/>
          <w:sz w:val="22"/>
          <w:szCs w:val="22"/>
        </w:rPr>
        <w:t xml:space="preserve"> of </w:t>
      </w:r>
      <w:r w:rsidR="00B476B7" w:rsidRPr="006117D3">
        <w:rPr>
          <w:rFonts w:ascii="Calibri" w:hAnsi="Calibri" w:cs="Calibri"/>
          <w:sz w:val="22"/>
          <w:szCs w:val="22"/>
        </w:rPr>
        <w:t xml:space="preserve">their </w:t>
      </w:r>
      <w:r w:rsidR="00970806" w:rsidRPr="006117D3">
        <w:rPr>
          <w:rFonts w:ascii="Calibri" w:hAnsi="Calibri" w:cs="Calibri"/>
          <w:sz w:val="22"/>
          <w:szCs w:val="22"/>
        </w:rPr>
        <w:t xml:space="preserve">mandatory </w:t>
      </w:r>
      <w:r w:rsidR="00291CC5" w:rsidRPr="006117D3">
        <w:rPr>
          <w:rFonts w:ascii="Calibri" w:hAnsi="Calibri" w:cs="Calibri"/>
          <w:sz w:val="22"/>
          <w:szCs w:val="22"/>
        </w:rPr>
        <w:t xml:space="preserve">work time </w:t>
      </w:r>
      <w:r w:rsidR="00A65596" w:rsidRPr="006117D3">
        <w:rPr>
          <w:rFonts w:ascii="Calibri" w:hAnsi="Calibri" w:cs="Calibri"/>
          <w:sz w:val="22"/>
          <w:szCs w:val="22"/>
        </w:rPr>
        <w:t>allocation to training</w:t>
      </w:r>
      <w:r w:rsidR="00CB2F01" w:rsidRPr="006117D3">
        <w:rPr>
          <w:rFonts w:ascii="Calibri" w:hAnsi="Calibri" w:cs="Calibri"/>
          <w:sz w:val="22"/>
          <w:szCs w:val="22"/>
        </w:rPr>
        <w:t xml:space="preserve">, service development </w:t>
      </w:r>
      <w:r w:rsidR="00132F60" w:rsidRPr="006117D3">
        <w:rPr>
          <w:rFonts w:ascii="Calibri" w:hAnsi="Calibri" w:cs="Calibri"/>
          <w:sz w:val="22"/>
          <w:szCs w:val="22"/>
        </w:rPr>
        <w:t xml:space="preserve">projects </w:t>
      </w:r>
      <w:r w:rsidR="00CB2F01" w:rsidRPr="006117D3">
        <w:rPr>
          <w:rFonts w:ascii="Calibri" w:hAnsi="Calibri" w:cs="Calibri"/>
          <w:sz w:val="22"/>
          <w:szCs w:val="22"/>
        </w:rPr>
        <w:t>and workplace supervision.</w:t>
      </w:r>
      <w:r w:rsidR="003D1693" w:rsidRPr="006117D3">
        <w:rPr>
          <w:rFonts w:ascii="Calibri" w:hAnsi="Calibri" w:cs="Calibri"/>
          <w:sz w:val="22"/>
          <w:szCs w:val="22"/>
        </w:rPr>
        <w:t xml:space="preserve"> </w:t>
      </w:r>
      <w:r w:rsidR="006E14EB" w:rsidRPr="006117D3">
        <w:rPr>
          <w:rFonts w:ascii="Calibri" w:hAnsi="Calibri" w:cs="Calibri"/>
          <w:sz w:val="22"/>
          <w:szCs w:val="22"/>
        </w:rPr>
        <w:t>TAHRGETS resourcing</w:t>
      </w:r>
      <w:r w:rsidR="0017675E" w:rsidRPr="006117D3">
        <w:rPr>
          <w:rFonts w:ascii="Calibri" w:hAnsi="Calibri" w:cs="Calibri"/>
          <w:sz w:val="22"/>
          <w:szCs w:val="22"/>
        </w:rPr>
        <w:t xml:space="preserve"> included</w:t>
      </w:r>
      <w:r w:rsidR="00970806" w:rsidRPr="006117D3">
        <w:rPr>
          <w:rFonts w:ascii="Calibri" w:hAnsi="Calibri" w:cs="Calibri"/>
          <w:sz w:val="22"/>
          <w:szCs w:val="22"/>
        </w:rPr>
        <w:t xml:space="preserve"> funding</w:t>
      </w:r>
      <w:r w:rsidR="003D1693" w:rsidRPr="006117D3">
        <w:rPr>
          <w:rFonts w:ascii="Calibri" w:hAnsi="Calibri" w:cs="Calibri"/>
          <w:sz w:val="22"/>
          <w:szCs w:val="22"/>
        </w:rPr>
        <w:t xml:space="preserve"> </w:t>
      </w:r>
      <w:r w:rsidR="006E14EB" w:rsidRPr="006117D3">
        <w:rPr>
          <w:rFonts w:ascii="Calibri" w:hAnsi="Calibri" w:cs="Calibri"/>
          <w:sz w:val="22"/>
          <w:szCs w:val="22"/>
        </w:rPr>
        <w:t>for</w:t>
      </w:r>
      <w:r w:rsidR="003D1693" w:rsidRPr="006117D3">
        <w:rPr>
          <w:rFonts w:ascii="Calibri" w:hAnsi="Calibri" w:cs="Calibri"/>
          <w:sz w:val="22"/>
          <w:szCs w:val="22"/>
        </w:rPr>
        <w:t xml:space="preserve"> </w:t>
      </w:r>
      <w:r w:rsidR="00355D71" w:rsidRPr="006117D3">
        <w:rPr>
          <w:rFonts w:ascii="Calibri" w:hAnsi="Calibri" w:cs="Calibri"/>
          <w:sz w:val="22"/>
          <w:szCs w:val="22"/>
        </w:rPr>
        <w:t>t</w:t>
      </w:r>
      <w:r w:rsidR="0017675E" w:rsidRPr="006117D3">
        <w:rPr>
          <w:rFonts w:ascii="Calibri" w:hAnsi="Calibri" w:cs="Calibri"/>
          <w:sz w:val="22"/>
          <w:szCs w:val="22"/>
        </w:rPr>
        <w:t xml:space="preserve">rainees’ </w:t>
      </w:r>
      <w:r w:rsidR="00360FE7" w:rsidRPr="006117D3">
        <w:rPr>
          <w:rFonts w:ascii="Calibri" w:hAnsi="Calibri" w:cs="Calibri"/>
          <w:sz w:val="22"/>
          <w:szCs w:val="22"/>
        </w:rPr>
        <w:t xml:space="preserve">post-graduate </w:t>
      </w:r>
      <w:r w:rsidR="00534025" w:rsidRPr="006117D3">
        <w:rPr>
          <w:rFonts w:ascii="Calibri" w:hAnsi="Calibri" w:cs="Calibri"/>
          <w:sz w:val="22"/>
          <w:szCs w:val="22"/>
        </w:rPr>
        <w:t>tuition fees</w:t>
      </w:r>
      <w:r w:rsidR="003D1693" w:rsidRPr="006117D3">
        <w:rPr>
          <w:rFonts w:ascii="Calibri" w:hAnsi="Calibri" w:cs="Calibri"/>
          <w:sz w:val="22"/>
          <w:szCs w:val="22"/>
        </w:rPr>
        <w:t xml:space="preserve">, </w:t>
      </w:r>
      <w:r w:rsidR="006E14EB" w:rsidRPr="006117D3">
        <w:rPr>
          <w:rFonts w:ascii="Calibri" w:hAnsi="Calibri" w:cs="Calibri"/>
          <w:sz w:val="22"/>
          <w:szCs w:val="22"/>
        </w:rPr>
        <w:t xml:space="preserve">a </w:t>
      </w:r>
      <w:r w:rsidR="003D1693" w:rsidRPr="006117D3">
        <w:rPr>
          <w:rFonts w:ascii="Calibri" w:hAnsi="Calibri" w:cs="Calibri"/>
          <w:sz w:val="22"/>
          <w:szCs w:val="22"/>
        </w:rPr>
        <w:t>workplace training grant to the employer</w:t>
      </w:r>
      <w:r w:rsidR="006E14EB" w:rsidRPr="006117D3">
        <w:rPr>
          <w:rFonts w:ascii="Calibri" w:hAnsi="Calibri" w:cs="Calibri"/>
          <w:sz w:val="22"/>
          <w:szCs w:val="22"/>
        </w:rPr>
        <w:t>, plus</w:t>
      </w:r>
      <w:r w:rsidR="003D1693" w:rsidRPr="006117D3">
        <w:rPr>
          <w:rFonts w:ascii="Calibri" w:hAnsi="Calibri" w:cs="Calibri"/>
          <w:sz w:val="22"/>
          <w:szCs w:val="22"/>
        </w:rPr>
        <w:t xml:space="preserve"> </w:t>
      </w:r>
      <w:r w:rsidR="00AC4D88" w:rsidRPr="006117D3">
        <w:rPr>
          <w:rFonts w:ascii="Calibri" w:hAnsi="Calibri" w:cs="Calibri"/>
          <w:sz w:val="22"/>
          <w:szCs w:val="22"/>
        </w:rPr>
        <w:t xml:space="preserve">program </w:t>
      </w:r>
      <w:r w:rsidR="003D1693" w:rsidRPr="006117D3">
        <w:rPr>
          <w:rFonts w:ascii="Calibri" w:hAnsi="Calibri" w:cs="Calibri"/>
          <w:sz w:val="22"/>
          <w:szCs w:val="22"/>
        </w:rPr>
        <w:t>coordination</w:t>
      </w:r>
      <w:r w:rsidR="00AC4D88" w:rsidRPr="006117D3">
        <w:rPr>
          <w:rFonts w:ascii="Calibri" w:hAnsi="Calibri" w:cs="Calibri"/>
          <w:sz w:val="22"/>
          <w:szCs w:val="22"/>
        </w:rPr>
        <w:t>/administration</w:t>
      </w:r>
      <w:r w:rsidR="003D1693" w:rsidRPr="006117D3">
        <w:rPr>
          <w:rFonts w:ascii="Calibri" w:hAnsi="Calibri" w:cs="Calibri"/>
          <w:sz w:val="22"/>
          <w:szCs w:val="22"/>
        </w:rPr>
        <w:t xml:space="preserve">, </w:t>
      </w:r>
      <w:r w:rsidR="001F3210" w:rsidRPr="006117D3">
        <w:rPr>
          <w:rFonts w:ascii="Calibri" w:hAnsi="Calibri" w:cs="Calibri"/>
          <w:sz w:val="22"/>
          <w:szCs w:val="22"/>
        </w:rPr>
        <w:t xml:space="preserve">and training site </w:t>
      </w:r>
      <w:r w:rsidR="003D1693" w:rsidRPr="006117D3">
        <w:rPr>
          <w:rFonts w:ascii="Calibri" w:hAnsi="Calibri" w:cs="Calibri"/>
          <w:sz w:val="22"/>
          <w:szCs w:val="22"/>
        </w:rPr>
        <w:t xml:space="preserve">coaching and support </w:t>
      </w:r>
      <w:r w:rsidR="00FD42B8" w:rsidRPr="006117D3">
        <w:rPr>
          <w:rFonts w:ascii="Calibri" w:hAnsi="Calibri" w:cs="Calibri"/>
          <w:sz w:val="22"/>
          <w:szCs w:val="22"/>
        </w:rPr>
        <w:t>provided by the SARRAH team</w:t>
      </w:r>
      <w:r w:rsidR="003D1693" w:rsidRPr="006117D3">
        <w:rPr>
          <w:rFonts w:ascii="Calibri" w:hAnsi="Calibri" w:cs="Calibri"/>
          <w:sz w:val="22"/>
          <w:szCs w:val="22"/>
        </w:rPr>
        <w:t xml:space="preserve">. </w:t>
      </w:r>
    </w:p>
    <w:p w14:paraId="0FE553C5" w14:textId="0C193F0C" w:rsidR="00AE259E" w:rsidRDefault="00927AD0" w:rsidP="001B4360">
      <w:pPr>
        <w:rPr>
          <w:rFonts w:ascii="Calibri" w:hAnsi="Calibri" w:cs="Calibri"/>
          <w:sz w:val="22"/>
          <w:szCs w:val="22"/>
        </w:rPr>
      </w:pPr>
      <w:r>
        <w:rPr>
          <w:rFonts w:ascii="Calibri" w:hAnsi="Calibri" w:cs="Calibri"/>
          <w:sz w:val="22"/>
          <w:szCs w:val="22"/>
        </w:rPr>
        <w:t>DH</w:t>
      </w:r>
      <w:r w:rsidR="00A64AD7">
        <w:rPr>
          <w:rFonts w:ascii="Calibri" w:hAnsi="Calibri" w:cs="Calibri"/>
          <w:sz w:val="22"/>
          <w:szCs w:val="22"/>
        </w:rPr>
        <w:t>D</w:t>
      </w:r>
      <w:r>
        <w:rPr>
          <w:rFonts w:ascii="Calibri" w:hAnsi="Calibri" w:cs="Calibri"/>
          <w:sz w:val="22"/>
          <w:szCs w:val="22"/>
        </w:rPr>
        <w:t>A g</w:t>
      </w:r>
      <w:r w:rsidR="007834B4">
        <w:rPr>
          <w:rFonts w:ascii="Calibri" w:hAnsi="Calibri" w:cs="Calibri"/>
          <w:sz w:val="22"/>
          <w:szCs w:val="22"/>
        </w:rPr>
        <w:t>rant</w:t>
      </w:r>
      <w:r w:rsidR="00CF544A" w:rsidRPr="00CF544A">
        <w:rPr>
          <w:rFonts w:ascii="Calibri" w:hAnsi="Calibri" w:cs="Calibri"/>
          <w:sz w:val="22"/>
          <w:szCs w:val="22"/>
        </w:rPr>
        <w:t xml:space="preserve"> guidelines </w:t>
      </w:r>
      <w:r>
        <w:rPr>
          <w:rFonts w:ascii="Calibri" w:hAnsi="Calibri" w:cs="Calibri"/>
          <w:sz w:val="22"/>
          <w:szCs w:val="22"/>
        </w:rPr>
        <w:t xml:space="preserve">for TAHRGETS </w:t>
      </w:r>
      <w:r w:rsidR="001D7282">
        <w:rPr>
          <w:rFonts w:ascii="Calibri" w:hAnsi="Calibri" w:cs="Calibri"/>
          <w:sz w:val="22"/>
          <w:szCs w:val="22"/>
        </w:rPr>
        <w:t>assigned</w:t>
      </w:r>
      <w:r w:rsidR="00CF544A">
        <w:rPr>
          <w:rFonts w:ascii="Calibri" w:hAnsi="Calibri" w:cs="Calibri"/>
          <w:sz w:val="22"/>
          <w:szCs w:val="22"/>
        </w:rPr>
        <w:t xml:space="preserve"> 30 </w:t>
      </w:r>
      <w:r>
        <w:rPr>
          <w:rFonts w:ascii="Calibri" w:hAnsi="Calibri" w:cs="Calibri"/>
          <w:sz w:val="22"/>
          <w:szCs w:val="22"/>
        </w:rPr>
        <w:t xml:space="preserve">training </w:t>
      </w:r>
      <w:r w:rsidR="00CF544A">
        <w:rPr>
          <w:rFonts w:ascii="Calibri" w:hAnsi="Calibri" w:cs="Calibri"/>
          <w:sz w:val="22"/>
          <w:szCs w:val="22"/>
        </w:rPr>
        <w:t xml:space="preserve">packages for </w:t>
      </w:r>
      <w:r>
        <w:rPr>
          <w:rFonts w:ascii="Calibri" w:hAnsi="Calibri" w:cs="Calibri"/>
          <w:sz w:val="22"/>
          <w:szCs w:val="22"/>
        </w:rPr>
        <w:t>Aboriginal Community-controlled Health Organisations (</w:t>
      </w:r>
      <w:r w:rsidR="00CF544A">
        <w:rPr>
          <w:rFonts w:ascii="Calibri" w:hAnsi="Calibri" w:cs="Calibri"/>
          <w:sz w:val="22"/>
          <w:szCs w:val="22"/>
        </w:rPr>
        <w:t>ACCHOs</w:t>
      </w:r>
      <w:r>
        <w:rPr>
          <w:rFonts w:ascii="Calibri" w:hAnsi="Calibri" w:cs="Calibri"/>
          <w:sz w:val="22"/>
          <w:szCs w:val="22"/>
        </w:rPr>
        <w:t>)</w:t>
      </w:r>
      <w:r w:rsidR="00CF544A">
        <w:rPr>
          <w:rFonts w:ascii="Calibri" w:hAnsi="Calibri" w:cs="Calibri"/>
          <w:sz w:val="22"/>
          <w:szCs w:val="22"/>
        </w:rPr>
        <w:t xml:space="preserve">, and </w:t>
      </w:r>
      <w:r w:rsidR="001D7282">
        <w:rPr>
          <w:rFonts w:ascii="Calibri" w:hAnsi="Calibri" w:cs="Calibri"/>
          <w:sz w:val="22"/>
          <w:szCs w:val="22"/>
        </w:rPr>
        <w:t xml:space="preserve">60 packages for </w:t>
      </w:r>
      <w:r w:rsidR="00D61334">
        <w:rPr>
          <w:rFonts w:ascii="Calibri" w:hAnsi="Calibri" w:cs="Calibri"/>
          <w:sz w:val="22"/>
          <w:szCs w:val="22"/>
        </w:rPr>
        <w:t>mainstream</w:t>
      </w:r>
      <w:r w:rsidR="001D7282">
        <w:rPr>
          <w:rFonts w:ascii="Calibri" w:hAnsi="Calibri" w:cs="Calibri"/>
          <w:sz w:val="22"/>
          <w:szCs w:val="22"/>
        </w:rPr>
        <w:t xml:space="preserve"> services.</w:t>
      </w:r>
    </w:p>
    <w:p w14:paraId="6AF9695A" w14:textId="2A813FA7" w:rsidR="001B4360" w:rsidRDefault="001B4360" w:rsidP="001B4360">
      <w:pPr>
        <w:rPr>
          <w:rFonts w:ascii="Calibri" w:hAnsi="Calibri" w:cs="Calibri"/>
          <w:b/>
          <w:bCs/>
          <w:color w:val="0D707D"/>
          <w:sz w:val="22"/>
          <w:szCs w:val="22"/>
        </w:rPr>
      </w:pPr>
      <w:r w:rsidRPr="00E176BE">
        <w:rPr>
          <w:rFonts w:ascii="Calibri" w:hAnsi="Calibri" w:cs="Calibri"/>
          <w:b/>
          <w:bCs/>
          <w:color w:val="0D707D"/>
          <w:sz w:val="22"/>
          <w:szCs w:val="22"/>
        </w:rPr>
        <w:lastRenderedPageBreak/>
        <w:t xml:space="preserve">Evaluation </w:t>
      </w:r>
      <w:r w:rsidR="006D4F0F">
        <w:rPr>
          <w:rFonts w:ascii="Calibri" w:hAnsi="Calibri" w:cs="Calibri"/>
          <w:b/>
          <w:bCs/>
          <w:color w:val="0D707D"/>
          <w:sz w:val="22"/>
          <w:szCs w:val="22"/>
        </w:rPr>
        <w:t>of TAHRGETS</w:t>
      </w:r>
      <w:r w:rsidR="009F6D52">
        <w:rPr>
          <w:rFonts w:ascii="Calibri" w:hAnsi="Calibri" w:cs="Calibri"/>
          <w:b/>
          <w:bCs/>
          <w:color w:val="0D707D"/>
          <w:sz w:val="22"/>
          <w:szCs w:val="22"/>
        </w:rPr>
        <w:t>:</w:t>
      </w:r>
    </w:p>
    <w:p w14:paraId="51CB3B51" w14:textId="1A79F924" w:rsidR="00CB2BAA" w:rsidRDefault="00360304" w:rsidP="00FD0B9C">
      <w:pPr>
        <w:rPr>
          <w:rFonts w:ascii="Calibri" w:hAnsi="Calibri" w:cs="Calibri"/>
          <w:sz w:val="22"/>
          <w:szCs w:val="22"/>
        </w:rPr>
      </w:pPr>
      <w:r>
        <w:rPr>
          <w:rFonts w:ascii="Calibri" w:hAnsi="Calibri" w:cs="Calibri"/>
          <w:sz w:val="22"/>
          <w:szCs w:val="22"/>
        </w:rPr>
        <w:t xml:space="preserve">Flinders University was contracted to deliver a robust, external evaluation of the implementation, impact and outcomes of the TAHRGETS.  </w:t>
      </w:r>
      <w:r w:rsidR="002678FD">
        <w:rPr>
          <w:rFonts w:ascii="Calibri" w:hAnsi="Calibri" w:cs="Calibri"/>
          <w:sz w:val="22"/>
          <w:szCs w:val="22"/>
        </w:rPr>
        <w:t>The study used a</w:t>
      </w:r>
      <w:r w:rsidR="002678FD" w:rsidRPr="00C87B3D">
        <w:rPr>
          <w:rFonts w:ascii="Calibri" w:hAnsi="Calibri" w:cs="Calibri"/>
          <w:sz w:val="22"/>
          <w:szCs w:val="22"/>
        </w:rPr>
        <w:t xml:space="preserve"> </w:t>
      </w:r>
      <w:r w:rsidR="00C87B3D" w:rsidRPr="00C87B3D">
        <w:rPr>
          <w:rFonts w:ascii="Calibri" w:hAnsi="Calibri" w:cs="Calibri"/>
          <w:sz w:val="22"/>
          <w:szCs w:val="22"/>
        </w:rPr>
        <w:t>mixed method</w:t>
      </w:r>
      <w:r w:rsidR="00103E96">
        <w:rPr>
          <w:rFonts w:ascii="Calibri" w:hAnsi="Calibri" w:cs="Calibri"/>
          <w:sz w:val="22"/>
          <w:szCs w:val="22"/>
        </w:rPr>
        <w:t>s</w:t>
      </w:r>
      <w:r w:rsidR="00C87B3D" w:rsidRPr="00C87B3D">
        <w:rPr>
          <w:rFonts w:ascii="Calibri" w:hAnsi="Calibri" w:cs="Calibri"/>
          <w:sz w:val="22"/>
          <w:szCs w:val="22"/>
        </w:rPr>
        <w:t xml:space="preserve"> approach </w:t>
      </w:r>
      <w:r w:rsidR="00746304">
        <w:rPr>
          <w:rFonts w:ascii="Calibri" w:hAnsi="Calibri" w:cs="Calibri"/>
          <w:sz w:val="22"/>
          <w:szCs w:val="22"/>
        </w:rPr>
        <w:t>with a</w:t>
      </w:r>
      <w:r w:rsidR="00C87B3D" w:rsidRPr="00C87B3D">
        <w:rPr>
          <w:rFonts w:ascii="Calibri" w:hAnsi="Calibri" w:cs="Calibri"/>
          <w:sz w:val="22"/>
          <w:szCs w:val="22"/>
        </w:rPr>
        <w:t xml:space="preserve"> data collection </w:t>
      </w:r>
      <w:r w:rsidR="00746304">
        <w:rPr>
          <w:rFonts w:ascii="Calibri" w:hAnsi="Calibri" w:cs="Calibri"/>
          <w:sz w:val="22"/>
          <w:szCs w:val="22"/>
        </w:rPr>
        <w:t>period</w:t>
      </w:r>
      <w:r w:rsidR="00746304" w:rsidRPr="00C87B3D">
        <w:rPr>
          <w:rFonts w:ascii="Calibri" w:hAnsi="Calibri" w:cs="Calibri"/>
          <w:sz w:val="22"/>
          <w:szCs w:val="22"/>
        </w:rPr>
        <w:t xml:space="preserve"> </w:t>
      </w:r>
      <w:r w:rsidR="00103E96">
        <w:rPr>
          <w:rFonts w:ascii="Calibri" w:hAnsi="Calibri" w:cs="Calibri"/>
          <w:sz w:val="22"/>
          <w:szCs w:val="22"/>
        </w:rPr>
        <w:t xml:space="preserve">between </w:t>
      </w:r>
      <w:r w:rsidR="00C87B3D" w:rsidRPr="00C87B3D">
        <w:rPr>
          <w:rFonts w:ascii="Calibri" w:hAnsi="Calibri" w:cs="Calibri"/>
          <w:sz w:val="22"/>
          <w:szCs w:val="22"/>
        </w:rPr>
        <w:t xml:space="preserve">January 2022 to October 2024. </w:t>
      </w:r>
      <w:r w:rsidR="0046351C">
        <w:rPr>
          <w:rFonts w:ascii="Calibri" w:hAnsi="Calibri" w:cs="Calibri"/>
          <w:sz w:val="22"/>
          <w:szCs w:val="22"/>
        </w:rPr>
        <w:t xml:space="preserve">The evaluation included </w:t>
      </w:r>
      <w:r w:rsidR="00746304">
        <w:rPr>
          <w:rFonts w:ascii="Calibri" w:hAnsi="Calibri" w:cs="Calibri"/>
          <w:sz w:val="22"/>
          <w:szCs w:val="22"/>
        </w:rPr>
        <w:t xml:space="preserve">53 </w:t>
      </w:r>
      <w:r w:rsidR="003E6D29">
        <w:rPr>
          <w:rFonts w:ascii="Calibri" w:hAnsi="Calibri" w:cs="Calibri"/>
          <w:sz w:val="22"/>
          <w:szCs w:val="22"/>
        </w:rPr>
        <w:t>s</w:t>
      </w:r>
      <w:r w:rsidR="00CB2BAA">
        <w:rPr>
          <w:rFonts w:ascii="Calibri" w:hAnsi="Calibri" w:cs="Calibri"/>
          <w:sz w:val="22"/>
          <w:szCs w:val="22"/>
        </w:rPr>
        <w:t>emi-structured i</w:t>
      </w:r>
      <w:r w:rsidR="00CB2BAA" w:rsidRPr="00CB2BAA">
        <w:rPr>
          <w:rFonts w:ascii="Calibri" w:hAnsi="Calibri" w:cs="Calibri"/>
          <w:sz w:val="22"/>
          <w:szCs w:val="22"/>
        </w:rPr>
        <w:t xml:space="preserve">nterviews </w:t>
      </w:r>
      <w:r w:rsidR="00FD0B9C">
        <w:rPr>
          <w:rFonts w:ascii="Calibri" w:hAnsi="Calibri" w:cs="Calibri"/>
          <w:sz w:val="22"/>
          <w:szCs w:val="22"/>
        </w:rPr>
        <w:t xml:space="preserve">with </w:t>
      </w:r>
      <w:r w:rsidR="00355D71">
        <w:rPr>
          <w:rFonts w:ascii="Calibri" w:hAnsi="Calibri" w:cs="Calibri"/>
          <w:sz w:val="22"/>
          <w:szCs w:val="22"/>
        </w:rPr>
        <w:t>trainees</w:t>
      </w:r>
      <w:r w:rsidR="00103E96">
        <w:rPr>
          <w:rFonts w:ascii="Calibri" w:hAnsi="Calibri" w:cs="Calibri"/>
          <w:sz w:val="22"/>
          <w:szCs w:val="22"/>
        </w:rPr>
        <w:t xml:space="preserve"> (current</w:t>
      </w:r>
      <w:r w:rsidR="005C4AAB">
        <w:rPr>
          <w:rFonts w:ascii="Calibri" w:hAnsi="Calibri" w:cs="Calibri"/>
          <w:sz w:val="22"/>
          <w:szCs w:val="22"/>
        </w:rPr>
        <w:t>, withdrawn)</w:t>
      </w:r>
      <w:r w:rsidR="00CB2BAA" w:rsidRPr="00CB2BAA">
        <w:rPr>
          <w:rFonts w:ascii="Calibri" w:hAnsi="Calibri" w:cs="Calibri"/>
          <w:sz w:val="22"/>
          <w:szCs w:val="22"/>
        </w:rPr>
        <w:t>, and managers and supervisors</w:t>
      </w:r>
      <w:r w:rsidR="00076F52">
        <w:rPr>
          <w:rFonts w:ascii="Calibri" w:hAnsi="Calibri" w:cs="Calibri"/>
          <w:sz w:val="22"/>
          <w:szCs w:val="22"/>
        </w:rPr>
        <w:t xml:space="preserve">, </w:t>
      </w:r>
      <w:r w:rsidR="00E034E2">
        <w:rPr>
          <w:rFonts w:ascii="Calibri" w:hAnsi="Calibri" w:cs="Calibri"/>
          <w:sz w:val="22"/>
          <w:szCs w:val="22"/>
        </w:rPr>
        <w:t xml:space="preserve">case studies, </w:t>
      </w:r>
      <w:r w:rsidR="00076F52">
        <w:rPr>
          <w:rFonts w:ascii="Calibri" w:hAnsi="Calibri" w:cs="Calibri"/>
          <w:sz w:val="22"/>
          <w:szCs w:val="22"/>
        </w:rPr>
        <w:t>Discrete Choice Experiment survey</w:t>
      </w:r>
      <w:r w:rsidR="00E034E2">
        <w:rPr>
          <w:rFonts w:ascii="Calibri" w:hAnsi="Calibri" w:cs="Calibri"/>
          <w:sz w:val="22"/>
          <w:szCs w:val="22"/>
        </w:rPr>
        <w:t xml:space="preserve"> with stakeholders who had not participated in the strategy, and analysis of implementation data.</w:t>
      </w:r>
      <w:r w:rsidR="00CB64D5">
        <w:rPr>
          <w:rFonts w:ascii="Calibri" w:hAnsi="Calibri" w:cs="Calibri"/>
          <w:sz w:val="22"/>
          <w:szCs w:val="22"/>
        </w:rPr>
        <w:t xml:space="preserve"> </w:t>
      </w:r>
    </w:p>
    <w:p w14:paraId="64A00A27" w14:textId="6125DC89" w:rsidR="009F6D52" w:rsidRDefault="00B7665B" w:rsidP="001B4360">
      <w:pPr>
        <w:rPr>
          <w:rFonts w:ascii="Calibri" w:hAnsi="Calibri" w:cs="Calibri"/>
          <w:b/>
          <w:bCs/>
          <w:color w:val="0D707D"/>
          <w:sz w:val="22"/>
          <w:szCs w:val="22"/>
        </w:rPr>
      </w:pPr>
      <w:r>
        <w:rPr>
          <w:rFonts w:ascii="Calibri" w:hAnsi="Calibri" w:cs="Calibri"/>
          <w:b/>
          <w:bCs/>
          <w:color w:val="0D707D"/>
          <w:sz w:val="22"/>
          <w:szCs w:val="22"/>
        </w:rPr>
        <w:t>TAHRGETS outputs and outcomes</w:t>
      </w:r>
      <w:r w:rsidR="009F6D52" w:rsidRPr="009F6D52">
        <w:rPr>
          <w:rFonts w:ascii="Calibri" w:hAnsi="Calibri" w:cs="Calibri"/>
          <w:b/>
          <w:bCs/>
          <w:color w:val="0D707D"/>
          <w:sz w:val="22"/>
          <w:szCs w:val="22"/>
        </w:rPr>
        <w:t xml:space="preserve">: </w:t>
      </w:r>
    </w:p>
    <w:p w14:paraId="3AA85FED" w14:textId="305E5EE0" w:rsidR="00B52563" w:rsidRDefault="00645219" w:rsidP="00236AB2">
      <w:pPr>
        <w:pStyle w:val="ListParagraph"/>
        <w:numPr>
          <w:ilvl w:val="0"/>
          <w:numId w:val="5"/>
        </w:numPr>
        <w:spacing w:after="0"/>
        <w:rPr>
          <w:rFonts w:ascii="Calibri" w:hAnsi="Calibri" w:cs="Calibri"/>
          <w:sz w:val="22"/>
          <w:szCs w:val="22"/>
        </w:rPr>
      </w:pPr>
      <w:r>
        <w:rPr>
          <w:rFonts w:ascii="Calibri" w:hAnsi="Calibri" w:cs="Calibri"/>
          <w:sz w:val="22"/>
          <w:szCs w:val="22"/>
        </w:rPr>
        <w:t>Sixty-two (</w:t>
      </w:r>
      <w:r w:rsidR="0006459C">
        <w:rPr>
          <w:rFonts w:ascii="Calibri" w:hAnsi="Calibri" w:cs="Calibri"/>
          <w:sz w:val="22"/>
          <w:szCs w:val="22"/>
        </w:rPr>
        <w:t>62</w:t>
      </w:r>
      <w:r>
        <w:rPr>
          <w:rFonts w:ascii="Calibri" w:hAnsi="Calibri" w:cs="Calibri"/>
          <w:sz w:val="22"/>
          <w:szCs w:val="22"/>
        </w:rPr>
        <w:t>)</w:t>
      </w:r>
      <w:r w:rsidR="00B52563" w:rsidRPr="00B52563">
        <w:rPr>
          <w:rFonts w:ascii="Calibri" w:hAnsi="Calibri" w:cs="Calibri"/>
          <w:sz w:val="22"/>
          <w:szCs w:val="22"/>
        </w:rPr>
        <w:t xml:space="preserve"> </w:t>
      </w:r>
      <w:r w:rsidR="00107DE7">
        <w:rPr>
          <w:rFonts w:ascii="Calibri" w:hAnsi="Calibri" w:cs="Calibri"/>
          <w:sz w:val="22"/>
          <w:szCs w:val="22"/>
        </w:rPr>
        <w:t xml:space="preserve">early career AHPs were employed in AHRG Training Positions and were supported by the </w:t>
      </w:r>
      <w:r w:rsidR="00B52563" w:rsidRPr="00B52563">
        <w:rPr>
          <w:rFonts w:ascii="Calibri" w:hAnsi="Calibri" w:cs="Calibri"/>
          <w:sz w:val="22"/>
          <w:szCs w:val="22"/>
        </w:rPr>
        <w:t>TAHRGETS</w:t>
      </w:r>
      <w:r w:rsidR="00295296">
        <w:rPr>
          <w:rFonts w:ascii="Calibri" w:hAnsi="Calibri" w:cs="Calibri"/>
          <w:sz w:val="22"/>
          <w:szCs w:val="22"/>
        </w:rPr>
        <w:t xml:space="preserve">. Participants were from nine different professions and </w:t>
      </w:r>
      <w:r w:rsidR="00AB6CEA">
        <w:rPr>
          <w:rFonts w:ascii="Calibri" w:hAnsi="Calibri" w:cs="Calibri"/>
          <w:sz w:val="22"/>
          <w:szCs w:val="22"/>
        </w:rPr>
        <w:t>all</w:t>
      </w:r>
      <w:r w:rsidR="00295296">
        <w:rPr>
          <w:rFonts w:ascii="Calibri" w:hAnsi="Calibri" w:cs="Calibri"/>
          <w:sz w:val="22"/>
          <w:szCs w:val="22"/>
        </w:rPr>
        <w:t xml:space="preserve"> states and territories</w:t>
      </w:r>
      <w:r w:rsidR="00AB6CEA">
        <w:rPr>
          <w:rFonts w:ascii="Calibri" w:hAnsi="Calibri" w:cs="Calibri"/>
          <w:sz w:val="22"/>
          <w:szCs w:val="22"/>
        </w:rPr>
        <w:t xml:space="preserve"> except Victoria and the ACT</w:t>
      </w:r>
      <w:r w:rsidR="00295296">
        <w:rPr>
          <w:rFonts w:ascii="Calibri" w:hAnsi="Calibri" w:cs="Calibri"/>
          <w:sz w:val="22"/>
          <w:szCs w:val="22"/>
        </w:rPr>
        <w:t>.</w:t>
      </w:r>
      <w:r w:rsidR="00191299">
        <w:rPr>
          <w:rFonts w:ascii="Calibri" w:hAnsi="Calibri" w:cs="Calibri"/>
          <w:sz w:val="22"/>
          <w:szCs w:val="22"/>
        </w:rPr>
        <w:t xml:space="preserve">  Of these participants:</w:t>
      </w:r>
    </w:p>
    <w:p w14:paraId="216149ED" w14:textId="43307CF8" w:rsidR="00191299" w:rsidRDefault="00191299" w:rsidP="00904293">
      <w:pPr>
        <w:pStyle w:val="ListParagraph"/>
        <w:numPr>
          <w:ilvl w:val="1"/>
          <w:numId w:val="5"/>
        </w:numPr>
        <w:spacing w:after="0"/>
        <w:rPr>
          <w:rFonts w:ascii="Calibri" w:hAnsi="Calibri" w:cs="Calibri"/>
          <w:sz w:val="22"/>
          <w:szCs w:val="22"/>
        </w:rPr>
      </w:pPr>
      <w:r>
        <w:rPr>
          <w:rFonts w:ascii="Calibri" w:hAnsi="Calibri" w:cs="Calibri"/>
          <w:sz w:val="22"/>
          <w:szCs w:val="22"/>
        </w:rPr>
        <w:t xml:space="preserve">60 were in </w:t>
      </w:r>
      <w:r w:rsidR="00D61334">
        <w:rPr>
          <w:rFonts w:ascii="Calibri" w:hAnsi="Calibri" w:cs="Calibri"/>
          <w:sz w:val="22"/>
          <w:szCs w:val="22"/>
        </w:rPr>
        <w:t>mainstream</w:t>
      </w:r>
      <w:r>
        <w:rPr>
          <w:rFonts w:ascii="Calibri" w:hAnsi="Calibri" w:cs="Calibri"/>
          <w:sz w:val="22"/>
          <w:szCs w:val="22"/>
        </w:rPr>
        <w:t xml:space="preserve"> providers</w:t>
      </w:r>
      <w:r w:rsidR="00072703">
        <w:rPr>
          <w:rFonts w:ascii="Calibri" w:hAnsi="Calibri" w:cs="Calibri"/>
          <w:sz w:val="22"/>
          <w:szCs w:val="22"/>
        </w:rPr>
        <w:t xml:space="preserve"> (implementation target fully achieved) and two were in ACCHOs</w:t>
      </w:r>
      <w:r w:rsidR="005B57B4">
        <w:rPr>
          <w:rFonts w:ascii="Calibri" w:hAnsi="Calibri" w:cs="Calibri"/>
          <w:sz w:val="22"/>
          <w:szCs w:val="22"/>
        </w:rPr>
        <w:t xml:space="preserve"> (implementation target not achieved)</w:t>
      </w:r>
      <w:r w:rsidR="00072703">
        <w:rPr>
          <w:rFonts w:ascii="Calibri" w:hAnsi="Calibri" w:cs="Calibri"/>
          <w:sz w:val="22"/>
          <w:szCs w:val="22"/>
        </w:rPr>
        <w:t>, and</w:t>
      </w:r>
    </w:p>
    <w:p w14:paraId="3DCEA5B3" w14:textId="7B4DFFC4" w:rsidR="00284DC5" w:rsidRDefault="0006459C" w:rsidP="003B1998">
      <w:pPr>
        <w:pStyle w:val="ListParagraph"/>
        <w:numPr>
          <w:ilvl w:val="1"/>
          <w:numId w:val="5"/>
        </w:numPr>
        <w:spacing w:after="0"/>
        <w:rPr>
          <w:rFonts w:ascii="Calibri" w:hAnsi="Calibri" w:cs="Calibri"/>
          <w:sz w:val="22"/>
          <w:szCs w:val="22"/>
        </w:rPr>
      </w:pPr>
      <w:r w:rsidRPr="0006459C">
        <w:rPr>
          <w:rFonts w:ascii="Calibri" w:hAnsi="Calibri" w:cs="Calibri"/>
          <w:sz w:val="22"/>
          <w:szCs w:val="22"/>
        </w:rPr>
        <w:t xml:space="preserve">37 </w:t>
      </w:r>
      <w:r w:rsidR="00072703" w:rsidRPr="0006459C">
        <w:rPr>
          <w:rFonts w:ascii="Calibri" w:hAnsi="Calibri" w:cs="Calibri"/>
          <w:sz w:val="22"/>
          <w:szCs w:val="22"/>
        </w:rPr>
        <w:t>ha</w:t>
      </w:r>
      <w:r w:rsidR="00072703">
        <w:rPr>
          <w:rFonts w:ascii="Calibri" w:hAnsi="Calibri" w:cs="Calibri"/>
          <w:sz w:val="22"/>
          <w:szCs w:val="22"/>
        </w:rPr>
        <w:t>d</w:t>
      </w:r>
      <w:r w:rsidR="00072703" w:rsidRPr="0006459C">
        <w:rPr>
          <w:rFonts w:ascii="Calibri" w:hAnsi="Calibri" w:cs="Calibri"/>
          <w:sz w:val="22"/>
          <w:szCs w:val="22"/>
        </w:rPr>
        <w:t xml:space="preserve"> </w:t>
      </w:r>
      <w:r w:rsidRPr="0006459C">
        <w:rPr>
          <w:rFonts w:ascii="Calibri" w:hAnsi="Calibri" w:cs="Calibri"/>
          <w:sz w:val="22"/>
          <w:szCs w:val="22"/>
        </w:rPr>
        <w:t xml:space="preserve">completed or </w:t>
      </w:r>
      <w:r w:rsidR="00072703">
        <w:rPr>
          <w:rFonts w:ascii="Calibri" w:hAnsi="Calibri" w:cs="Calibri"/>
          <w:sz w:val="22"/>
          <w:szCs w:val="22"/>
        </w:rPr>
        <w:t>we</w:t>
      </w:r>
      <w:r w:rsidR="00072703" w:rsidRPr="0006459C">
        <w:rPr>
          <w:rFonts w:ascii="Calibri" w:hAnsi="Calibri" w:cs="Calibri"/>
          <w:sz w:val="22"/>
          <w:szCs w:val="22"/>
        </w:rPr>
        <w:t xml:space="preserve">re </w:t>
      </w:r>
      <w:r w:rsidRPr="0006459C">
        <w:rPr>
          <w:rFonts w:ascii="Calibri" w:hAnsi="Calibri" w:cs="Calibri"/>
          <w:sz w:val="22"/>
          <w:szCs w:val="22"/>
        </w:rPr>
        <w:t>p</w:t>
      </w:r>
      <w:r w:rsidR="00072703">
        <w:rPr>
          <w:rFonts w:ascii="Calibri" w:hAnsi="Calibri" w:cs="Calibri"/>
          <w:sz w:val="22"/>
          <w:szCs w:val="22"/>
        </w:rPr>
        <w:t>rojected to</w:t>
      </w:r>
      <w:r w:rsidRPr="0006459C">
        <w:rPr>
          <w:rFonts w:ascii="Calibri" w:hAnsi="Calibri" w:cs="Calibri"/>
          <w:sz w:val="22"/>
          <w:szCs w:val="22"/>
        </w:rPr>
        <w:t xml:space="preserve"> complete </w:t>
      </w:r>
      <w:r w:rsidR="00072703">
        <w:rPr>
          <w:rFonts w:ascii="Calibri" w:hAnsi="Calibri" w:cs="Calibri"/>
          <w:sz w:val="22"/>
          <w:szCs w:val="22"/>
        </w:rPr>
        <w:t xml:space="preserve">their training </w:t>
      </w:r>
      <w:r w:rsidR="00BE4BFD">
        <w:rPr>
          <w:rFonts w:ascii="Calibri" w:hAnsi="Calibri" w:cs="Calibri"/>
          <w:sz w:val="22"/>
          <w:szCs w:val="22"/>
        </w:rPr>
        <w:t>by December</w:t>
      </w:r>
      <w:r w:rsidR="00BE4BFD" w:rsidRPr="0006459C">
        <w:rPr>
          <w:rFonts w:ascii="Calibri" w:hAnsi="Calibri" w:cs="Calibri"/>
          <w:sz w:val="22"/>
          <w:szCs w:val="22"/>
        </w:rPr>
        <w:t xml:space="preserve"> </w:t>
      </w:r>
      <w:r w:rsidRPr="0006459C">
        <w:rPr>
          <w:rFonts w:ascii="Calibri" w:hAnsi="Calibri" w:cs="Calibri"/>
          <w:sz w:val="22"/>
          <w:szCs w:val="22"/>
        </w:rPr>
        <w:t>2025</w:t>
      </w:r>
      <w:r w:rsidR="003B56BC">
        <w:rPr>
          <w:rFonts w:ascii="Calibri" w:hAnsi="Calibri" w:cs="Calibri"/>
          <w:sz w:val="22"/>
          <w:szCs w:val="22"/>
        </w:rPr>
        <w:t xml:space="preserve">. </w:t>
      </w:r>
      <w:r w:rsidR="00F13787">
        <w:rPr>
          <w:rFonts w:ascii="Calibri" w:hAnsi="Calibri" w:cs="Calibri"/>
          <w:sz w:val="22"/>
          <w:szCs w:val="22"/>
        </w:rPr>
        <w:t>A withdrawal rate of 40%</w:t>
      </w:r>
      <w:r w:rsidR="00144B7E">
        <w:rPr>
          <w:rFonts w:ascii="Calibri" w:hAnsi="Calibri" w:cs="Calibri"/>
          <w:sz w:val="22"/>
          <w:szCs w:val="22"/>
        </w:rPr>
        <w:t xml:space="preserve"> </w:t>
      </w:r>
      <w:r w:rsidR="00EF752C">
        <w:rPr>
          <w:rFonts w:ascii="Calibri" w:hAnsi="Calibri" w:cs="Calibri"/>
          <w:sz w:val="22"/>
          <w:szCs w:val="22"/>
        </w:rPr>
        <w:t>was</w:t>
      </w:r>
      <w:r w:rsidR="00144B7E">
        <w:rPr>
          <w:rFonts w:ascii="Calibri" w:hAnsi="Calibri" w:cs="Calibri"/>
          <w:sz w:val="22"/>
          <w:szCs w:val="22"/>
        </w:rPr>
        <w:t xml:space="preserve"> broadly </w:t>
      </w:r>
      <w:r w:rsidR="00C810CF">
        <w:rPr>
          <w:rFonts w:ascii="Calibri" w:hAnsi="Calibri" w:cs="Calibri"/>
          <w:sz w:val="22"/>
          <w:szCs w:val="22"/>
        </w:rPr>
        <w:t>consistent</w:t>
      </w:r>
      <w:r w:rsidR="00144B7E">
        <w:rPr>
          <w:rFonts w:ascii="Calibri" w:hAnsi="Calibri" w:cs="Calibri"/>
          <w:sz w:val="22"/>
          <w:szCs w:val="22"/>
        </w:rPr>
        <w:t xml:space="preserve"> with </w:t>
      </w:r>
      <w:r w:rsidR="006D0F2B">
        <w:rPr>
          <w:rFonts w:ascii="Calibri" w:hAnsi="Calibri" w:cs="Calibri"/>
          <w:sz w:val="22"/>
          <w:szCs w:val="22"/>
        </w:rPr>
        <w:t>published data from the</w:t>
      </w:r>
      <w:r w:rsidR="003B56BC">
        <w:rPr>
          <w:rFonts w:ascii="Calibri" w:hAnsi="Calibri" w:cs="Calibri"/>
          <w:sz w:val="22"/>
          <w:szCs w:val="22"/>
        </w:rPr>
        <w:t xml:space="preserve"> South Australian public health service </w:t>
      </w:r>
      <w:r w:rsidR="006D0F2B">
        <w:rPr>
          <w:rFonts w:ascii="Calibri" w:hAnsi="Calibri" w:cs="Calibri"/>
          <w:sz w:val="22"/>
          <w:szCs w:val="22"/>
        </w:rPr>
        <w:t>AHRG Training Positions</w:t>
      </w:r>
      <w:r w:rsidR="00C810CF">
        <w:rPr>
          <w:rStyle w:val="EndnoteReference"/>
          <w:rFonts w:ascii="Calibri" w:hAnsi="Calibri" w:cs="Calibri"/>
          <w:sz w:val="22"/>
          <w:szCs w:val="22"/>
        </w:rPr>
        <w:endnoteReference w:id="3"/>
      </w:r>
      <w:r w:rsidR="006D0F2B">
        <w:rPr>
          <w:rFonts w:ascii="Calibri" w:hAnsi="Calibri" w:cs="Calibri"/>
          <w:sz w:val="22"/>
          <w:szCs w:val="22"/>
        </w:rPr>
        <w:t xml:space="preserve"> (</w:t>
      </w:r>
      <w:r w:rsidR="00C810CF">
        <w:rPr>
          <w:rFonts w:ascii="Calibri" w:hAnsi="Calibri" w:cs="Calibri"/>
          <w:sz w:val="22"/>
          <w:szCs w:val="22"/>
        </w:rPr>
        <w:t>46.6%</w:t>
      </w:r>
      <w:r w:rsidR="006D0F2B">
        <w:rPr>
          <w:rFonts w:ascii="Calibri" w:hAnsi="Calibri" w:cs="Calibri"/>
          <w:sz w:val="22"/>
          <w:szCs w:val="22"/>
        </w:rPr>
        <w:t>) and Queensland Health Medical Rural Generalist Pathway</w:t>
      </w:r>
      <w:r w:rsidR="00144B7E">
        <w:rPr>
          <w:rFonts w:ascii="Calibri" w:hAnsi="Calibri" w:cs="Calibri"/>
          <w:sz w:val="22"/>
          <w:szCs w:val="22"/>
        </w:rPr>
        <w:t xml:space="preserve"> (36.3%)</w:t>
      </w:r>
      <w:r w:rsidR="00DB0C12">
        <w:rPr>
          <w:rStyle w:val="EndnoteReference"/>
          <w:rFonts w:ascii="Calibri" w:hAnsi="Calibri" w:cs="Calibri"/>
          <w:sz w:val="22"/>
          <w:szCs w:val="22"/>
        </w:rPr>
        <w:endnoteReference w:id="4"/>
      </w:r>
      <w:r w:rsidR="003B1998">
        <w:rPr>
          <w:rFonts w:ascii="Calibri" w:hAnsi="Calibri" w:cs="Calibri"/>
          <w:sz w:val="22"/>
          <w:szCs w:val="22"/>
        </w:rPr>
        <w:t xml:space="preserve">. Of the 25 withdrawals, </w:t>
      </w:r>
      <w:r w:rsidR="007A1997" w:rsidRPr="00904293">
        <w:rPr>
          <w:rFonts w:ascii="Calibri" w:hAnsi="Calibri" w:cs="Calibri"/>
          <w:sz w:val="22"/>
          <w:szCs w:val="22"/>
        </w:rPr>
        <w:t xml:space="preserve">15 </w:t>
      </w:r>
      <w:r w:rsidR="003B1998">
        <w:rPr>
          <w:rFonts w:ascii="Calibri" w:hAnsi="Calibri" w:cs="Calibri"/>
          <w:sz w:val="22"/>
          <w:szCs w:val="22"/>
        </w:rPr>
        <w:t xml:space="preserve">were </w:t>
      </w:r>
      <w:r w:rsidR="007A1997" w:rsidRPr="00904293">
        <w:rPr>
          <w:rFonts w:ascii="Calibri" w:hAnsi="Calibri" w:cs="Calibri"/>
          <w:sz w:val="22"/>
          <w:szCs w:val="22"/>
        </w:rPr>
        <w:t>due to change</w:t>
      </w:r>
      <w:r w:rsidR="00A5263D">
        <w:rPr>
          <w:rFonts w:ascii="Calibri" w:hAnsi="Calibri" w:cs="Calibri"/>
          <w:sz w:val="22"/>
          <w:szCs w:val="22"/>
        </w:rPr>
        <w:t>s</w:t>
      </w:r>
      <w:r w:rsidR="007A1997" w:rsidRPr="00904293">
        <w:rPr>
          <w:rFonts w:ascii="Calibri" w:hAnsi="Calibri" w:cs="Calibri"/>
          <w:sz w:val="22"/>
          <w:szCs w:val="22"/>
        </w:rPr>
        <w:t xml:space="preserve"> in employment</w:t>
      </w:r>
      <w:r w:rsidR="003B1998">
        <w:rPr>
          <w:rFonts w:ascii="Calibri" w:hAnsi="Calibri" w:cs="Calibri"/>
          <w:sz w:val="22"/>
          <w:szCs w:val="22"/>
        </w:rPr>
        <w:t xml:space="preserve"> and</w:t>
      </w:r>
      <w:r w:rsidR="007A1997" w:rsidRPr="00904293">
        <w:rPr>
          <w:rFonts w:ascii="Calibri" w:hAnsi="Calibri" w:cs="Calibri"/>
          <w:sz w:val="22"/>
          <w:szCs w:val="22"/>
        </w:rPr>
        <w:t xml:space="preserve"> 10 due to personal reasons.</w:t>
      </w:r>
    </w:p>
    <w:p w14:paraId="15FFA708" w14:textId="3654AAB4" w:rsidR="00836585" w:rsidRDefault="005269BF" w:rsidP="00B83D4D">
      <w:pPr>
        <w:pStyle w:val="ListParagraph"/>
        <w:numPr>
          <w:ilvl w:val="0"/>
          <w:numId w:val="5"/>
        </w:numPr>
        <w:spacing w:after="0"/>
        <w:rPr>
          <w:rFonts w:ascii="Calibri" w:hAnsi="Calibri" w:cs="Calibri"/>
          <w:sz w:val="22"/>
          <w:szCs w:val="22"/>
        </w:rPr>
      </w:pPr>
      <w:r>
        <w:rPr>
          <w:rFonts w:ascii="Calibri" w:hAnsi="Calibri" w:cs="Calibri"/>
          <w:sz w:val="22"/>
          <w:szCs w:val="22"/>
        </w:rPr>
        <w:t xml:space="preserve">Seventeen (17) </w:t>
      </w:r>
      <w:r w:rsidR="00AA0EAC">
        <w:rPr>
          <w:rFonts w:ascii="Calibri" w:hAnsi="Calibri" w:cs="Calibri"/>
          <w:sz w:val="22"/>
          <w:szCs w:val="22"/>
        </w:rPr>
        <w:t xml:space="preserve">AHPs were recruited to new training positions created in their organisations with </w:t>
      </w:r>
      <w:r w:rsidR="00142C13">
        <w:rPr>
          <w:rFonts w:ascii="Calibri" w:hAnsi="Calibri" w:cs="Calibri"/>
          <w:sz w:val="22"/>
          <w:szCs w:val="22"/>
        </w:rPr>
        <w:t xml:space="preserve">the </w:t>
      </w:r>
      <w:r w:rsidR="00A02FEA">
        <w:rPr>
          <w:rFonts w:ascii="Calibri" w:hAnsi="Calibri" w:cs="Calibri"/>
          <w:sz w:val="22"/>
          <w:szCs w:val="22"/>
        </w:rPr>
        <w:t xml:space="preserve">support of the TAHRGETS packages. The evaluation </w:t>
      </w:r>
      <w:r w:rsidR="000B59DC">
        <w:rPr>
          <w:rFonts w:ascii="Calibri" w:hAnsi="Calibri" w:cs="Calibri"/>
          <w:sz w:val="22"/>
          <w:szCs w:val="22"/>
        </w:rPr>
        <w:t xml:space="preserve">study </w:t>
      </w:r>
      <w:r w:rsidR="00A02FEA">
        <w:rPr>
          <w:rFonts w:ascii="Calibri" w:hAnsi="Calibri" w:cs="Calibri"/>
          <w:sz w:val="22"/>
          <w:szCs w:val="22"/>
        </w:rPr>
        <w:t>estimated the</w:t>
      </w:r>
      <w:r w:rsidR="007B7470">
        <w:rPr>
          <w:rFonts w:ascii="Calibri" w:hAnsi="Calibri" w:cs="Calibri"/>
          <w:sz w:val="22"/>
          <w:szCs w:val="22"/>
        </w:rPr>
        <w:t xml:space="preserve">se new positions contributed </w:t>
      </w:r>
      <w:r w:rsidR="00701085">
        <w:rPr>
          <w:rFonts w:ascii="Calibri" w:hAnsi="Calibri" w:cs="Calibri"/>
          <w:sz w:val="22"/>
          <w:szCs w:val="22"/>
        </w:rPr>
        <w:t>more than</w:t>
      </w:r>
      <w:r w:rsidR="007B7470">
        <w:rPr>
          <w:rFonts w:ascii="Calibri" w:hAnsi="Calibri" w:cs="Calibri"/>
          <w:sz w:val="22"/>
          <w:szCs w:val="22"/>
        </w:rPr>
        <w:t xml:space="preserve"> 42,000 service hours</w:t>
      </w:r>
      <w:r w:rsidR="00C55CCC">
        <w:rPr>
          <w:rFonts w:ascii="Calibri" w:hAnsi="Calibri" w:cs="Calibri"/>
          <w:sz w:val="22"/>
          <w:szCs w:val="22"/>
        </w:rPr>
        <w:t xml:space="preserve"> to their communities</w:t>
      </w:r>
      <w:r w:rsidR="007E769E">
        <w:rPr>
          <w:rFonts w:ascii="Calibri" w:hAnsi="Calibri" w:cs="Calibri"/>
          <w:sz w:val="22"/>
          <w:szCs w:val="22"/>
        </w:rPr>
        <w:t xml:space="preserve"> over the two-year duration of the program</w:t>
      </w:r>
      <w:r w:rsidR="00C55CCC">
        <w:rPr>
          <w:rFonts w:ascii="Calibri" w:hAnsi="Calibri" w:cs="Calibri"/>
          <w:sz w:val="22"/>
          <w:szCs w:val="22"/>
        </w:rPr>
        <w:t xml:space="preserve">, even when training </w:t>
      </w:r>
      <w:r w:rsidR="000B59DC">
        <w:rPr>
          <w:rFonts w:ascii="Calibri" w:hAnsi="Calibri" w:cs="Calibri"/>
          <w:sz w:val="22"/>
          <w:szCs w:val="22"/>
        </w:rPr>
        <w:t>demands were</w:t>
      </w:r>
      <w:r w:rsidR="00C55CCC">
        <w:rPr>
          <w:rFonts w:ascii="Calibri" w:hAnsi="Calibri" w:cs="Calibri"/>
          <w:sz w:val="22"/>
          <w:szCs w:val="22"/>
        </w:rPr>
        <w:t xml:space="preserve"> </w:t>
      </w:r>
      <w:r w:rsidR="00836585">
        <w:rPr>
          <w:rFonts w:ascii="Calibri" w:hAnsi="Calibri" w:cs="Calibri"/>
          <w:sz w:val="22"/>
          <w:szCs w:val="22"/>
        </w:rPr>
        <w:t>considered.</w:t>
      </w:r>
      <w:r w:rsidR="00A22CBC">
        <w:rPr>
          <w:rFonts w:ascii="Calibri" w:hAnsi="Calibri" w:cs="Calibri"/>
          <w:sz w:val="22"/>
          <w:szCs w:val="22"/>
        </w:rPr>
        <w:t xml:space="preserve">  The remaining trainees occupied existing positions in their organisation</w:t>
      </w:r>
      <w:r w:rsidR="00EA5CC5">
        <w:rPr>
          <w:rFonts w:ascii="Calibri" w:hAnsi="Calibri" w:cs="Calibri"/>
          <w:sz w:val="22"/>
          <w:szCs w:val="22"/>
        </w:rPr>
        <w:t>.</w:t>
      </w:r>
    </w:p>
    <w:p w14:paraId="75DDC164" w14:textId="60FE8212" w:rsidR="00E8565C" w:rsidRDefault="00E8565C" w:rsidP="00E8565C">
      <w:pPr>
        <w:pStyle w:val="ListParagraph"/>
        <w:numPr>
          <w:ilvl w:val="0"/>
          <w:numId w:val="5"/>
        </w:numPr>
        <w:rPr>
          <w:rFonts w:ascii="Calibri" w:hAnsi="Calibri" w:cs="Calibri"/>
          <w:sz w:val="22"/>
          <w:szCs w:val="22"/>
        </w:rPr>
      </w:pPr>
      <w:r w:rsidRPr="00183971">
        <w:rPr>
          <w:rFonts w:ascii="Calibri" w:hAnsi="Calibri" w:cs="Calibri"/>
          <w:sz w:val="22"/>
          <w:szCs w:val="22"/>
        </w:rPr>
        <w:t>TAHRGETS showed early signs of benefitting retention</w:t>
      </w:r>
      <w:r w:rsidR="007B0DE8">
        <w:rPr>
          <w:rFonts w:ascii="Calibri" w:hAnsi="Calibri" w:cs="Calibri"/>
          <w:sz w:val="22"/>
          <w:szCs w:val="22"/>
        </w:rPr>
        <w:t>,</w:t>
      </w:r>
      <w:r>
        <w:rPr>
          <w:rFonts w:ascii="Calibri" w:hAnsi="Calibri" w:cs="Calibri"/>
          <w:sz w:val="22"/>
          <w:szCs w:val="22"/>
        </w:rPr>
        <w:t xml:space="preserve"> with </w:t>
      </w:r>
      <w:r w:rsidR="000341B8">
        <w:rPr>
          <w:rFonts w:ascii="Calibri" w:hAnsi="Calibri" w:cs="Calibri"/>
          <w:sz w:val="22"/>
          <w:szCs w:val="22"/>
        </w:rPr>
        <w:t xml:space="preserve">all </w:t>
      </w:r>
      <w:r>
        <w:rPr>
          <w:rFonts w:ascii="Calibri" w:hAnsi="Calibri" w:cs="Calibri"/>
          <w:sz w:val="22"/>
          <w:szCs w:val="22"/>
        </w:rPr>
        <w:t>completing trainees indicating good intention to stay</w:t>
      </w:r>
      <w:r w:rsidR="00D628F3">
        <w:rPr>
          <w:rFonts w:ascii="Calibri" w:hAnsi="Calibri" w:cs="Calibri"/>
          <w:sz w:val="22"/>
          <w:szCs w:val="22"/>
        </w:rPr>
        <w:t xml:space="preserve"> </w:t>
      </w:r>
      <w:r w:rsidR="000341B8">
        <w:rPr>
          <w:rFonts w:ascii="Calibri" w:hAnsi="Calibri" w:cs="Calibri"/>
          <w:sz w:val="22"/>
          <w:szCs w:val="22"/>
        </w:rPr>
        <w:t>(</w:t>
      </w:r>
      <w:r w:rsidR="00D628F3">
        <w:rPr>
          <w:rFonts w:ascii="Calibri" w:hAnsi="Calibri" w:cs="Calibri"/>
          <w:sz w:val="22"/>
          <w:szCs w:val="22"/>
        </w:rPr>
        <w:t>2-5 years</w:t>
      </w:r>
      <w:r w:rsidR="000341B8">
        <w:rPr>
          <w:rFonts w:ascii="Calibri" w:hAnsi="Calibri" w:cs="Calibri"/>
          <w:sz w:val="22"/>
          <w:szCs w:val="22"/>
        </w:rPr>
        <w:t>)</w:t>
      </w:r>
      <w:r w:rsidRPr="00183971">
        <w:rPr>
          <w:rFonts w:ascii="Calibri" w:hAnsi="Calibri" w:cs="Calibri"/>
          <w:sz w:val="22"/>
          <w:szCs w:val="22"/>
        </w:rPr>
        <w:t>; however, long</w:t>
      </w:r>
      <w:r w:rsidR="00371971">
        <w:rPr>
          <w:rFonts w:ascii="Calibri" w:hAnsi="Calibri" w:cs="Calibri"/>
          <w:sz w:val="22"/>
          <w:szCs w:val="22"/>
        </w:rPr>
        <w:t>er</w:t>
      </w:r>
      <w:r w:rsidRPr="00183971">
        <w:rPr>
          <w:rFonts w:ascii="Calibri" w:hAnsi="Calibri" w:cs="Calibri"/>
          <w:sz w:val="22"/>
          <w:szCs w:val="22"/>
        </w:rPr>
        <w:t xml:space="preserve"> follow-up would be required to better understand this</w:t>
      </w:r>
      <w:r>
        <w:rPr>
          <w:rFonts w:ascii="Calibri" w:hAnsi="Calibri" w:cs="Calibri"/>
          <w:sz w:val="22"/>
          <w:szCs w:val="22"/>
        </w:rPr>
        <w:t xml:space="preserve">. </w:t>
      </w:r>
    </w:p>
    <w:p w14:paraId="2B752605" w14:textId="4A5E1062" w:rsidR="00B83D4D" w:rsidRPr="002953FD" w:rsidRDefault="00935560" w:rsidP="002953FD">
      <w:pPr>
        <w:pStyle w:val="ListParagraph"/>
        <w:numPr>
          <w:ilvl w:val="0"/>
          <w:numId w:val="5"/>
        </w:numPr>
        <w:spacing w:after="0"/>
        <w:rPr>
          <w:rFonts w:ascii="Calibri" w:hAnsi="Calibri" w:cs="Calibri"/>
          <w:sz w:val="22"/>
          <w:szCs w:val="22"/>
        </w:rPr>
      </w:pPr>
      <w:r>
        <w:rPr>
          <w:rFonts w:ascii="Calibri" w:hAnsi="Calibri" w:cs="Calibri"/>
          <w:sz w:val="22"/>
          <w:szCs w:val="22"/>
        </w:rPr>
        <w:t xml:space="preserve">Stakeholders identified </w:t>
      </w:r>
      <w:r w:rsidR="00A6333F">
        <w:rPr>
          <w:rFonts w:ascii="Calibri" w:hAnsi="Calibri" w:cs="Calibri"/>
          <w:sz w:val="22"/>
          <w:szCs w:val="22"/>
        </w:rPr>
        <w:t xml:space="preserve">that </w:t>
      </w:r>
      <w:r>
        <w:rPr>
          <w:rFonts w:ascii="Calibri" w:hAnsi="Calibri" w:cs="Calibri"/>
          <w:sz w:val="22"/>
          <w:szCs w:val="22"/>
        </w:rPr>
        <w:t xml:space="preserve">trainees </w:t>
      </w:r>
      <w:r w:rsidR="00A6333F">
        <w:rPr>
          <w:rFonts w:ascii="Calibri" w:hAnsi="Calibri" w:cs="Calibri"/>
          <w:sz w:val="22"/>
          <w:szCs w:val="22"/>
        </w:rPr>
        <w:t xml:space="preserve">improved their ability to </w:t>
      </w:r>
      <w:r w:rsidRPr="00935560">
        <w:rPr>
          <w:rFonts w:ascii="Calibri" w:hAnsi="Calibri" w:cs="Calibri"/>
          <w:sz w:val="22"/>
          <w:szCs w:val="22"/>
        </w:rPr>
        <w:t xml:space="preserve">manage clinical complexity, solve problems and </w:t>
      </w:r>
      <w:r w:rsidR="00A6333F">
        <w:rPr>
          <w:rFonts w:ascii="Calibri" w:hAnsi="Calibri" w:cs="Calibri"/>
          <w:sz w:val="22"/>
          <w:szCs w:val="22"/>
        </w:rPr>
        <w:t>apply</w:t>
      </w:r>
      <w:r w:rsidRPr="00935560">
        <w:rPr>
          <w:rFonts w:ascii="Calibri" w:hAnsi="Calibri" w:cs="Calibri"/>
          <w:sz w:val="22"/>
          <w:szCs w:val="22"/>
        </w:rPr>
        <w:t xml:space="preserve"> evidence-based practice</w:t>
      </w:r>
      <w:r w:rsidR="00A6333F">
        <w:rPr>
          <w:rFonts w:ascii="Calibri" w:hAnsi="Calibri" w:cs="Calibri"/>
          <w:sz w:val="22"/>
          <w:szCs w:val="22"/>
        </w:rPr>
        <w:t xml:space="preserve"> to local healthcare challenges</w:t>
      </w:r>
      <w:r w:rsidRPr="00935560">
        <w:rPr>
          <w:rFonts w:ascii="Calibri" w:hAnsi="Calibri" w:cs="Calibri"/>
          <w:sz w:val="22"/>
          <w:szCs w:val="22"/>
        </w:rPr>
        <w:t>.</w:t>
      </w:r>
      <w:r w:rsidR="00A02FEA">
        <w:rPr>
          <w:rFonts w:ascii="Calibri" w:hAnsi="Calibri" w:cs="Calibri"/>
          <w:sz w:val="22"/>
          <w:szCs w:val="22"/>
        </w:rPr>
        <w:t xml:space="preserve"> </w:t>
      </w:r>
    </w:p>
    <w:p w14:paraId="7E642107" w14:textId="0EEC8B17" w:rsidR="00606002" w:rsidRDefault="00606002" w:rsidP="00606002">
      <w:pPr>
        <w:pStyle w:val="ListParagraph"/>
        <w:numPr>
          <w:ilvl w:val="0"/>
          <w:numId w:val="8"/>
        </w:numPr>
        <w:rPr>
          <w:rFonts w:ascii="Calibri" w:hAnsi="Calibri" w:cs="Calibri"/>
          <w:sz w:val="22"/>
          <w:szCs w:val="22"/>
        </w:rPr>
      </w:pPr>
      <w:r w:rsidRPr="001D4DC3">
        <w:rPr>
          <w:rFonts w:ascii="Calibri" w:hAnsi="Calibri" w:cs="Calibri"/>
          <w:sz w:val="22"/>
          <w:szCs w:val="22"/>
        </w:rPr>
        <w:t xml:space="preserve">Forty-seven </w:t>
      </w:r>
      <w:r w:rsidR="00B16236">
        <w:rPr>
          <w:rFonts w:ascii="Calibri" w:hAnsi="Calibri" w:cs="Calibri"/>
          <w:sz w:val="22"/>
          <w:szCs w:val="22"/>
        </w:rPr>
        <w:t xml:space="preserve">(47) </w:t>
      </w:r>
      <w:r w:rsidRPr="001D4DC3">
        <w:rPr>
          <w:rFonts w:ascii="Calibri" w:hAnsi="Calibri" w:cs="Calibri"/>
          <w:sz w:val="22"/>
          <w:szCs w:val="22"/>
        </w:rPr>
        <w:t>service development projects were undertaken</w:t>
      </w:r>
      <w:r w:rsidR="00236256">
        <w:rPr>
          <w:rFonts w:ascii="Calibri" w:hAnsi="Calibri" w:cs="Calibri"/>
          <w:sz w:val="22"/>
          <w:szCs w:val="22"/>
        </w:rPr>
        <w:t xml:space="preserve"> in TAHRGETS sites</w:t>
      </w:r>
      <w:r w:rsidRPr="001D4DC3">
        <w:rPr>
          <w:rFonts w:ascii="Calibri" w:hAnsi="Calibri" w:cs="Calibri"/>
          <w:sz w:val="22"/>
          <w:szCs w:val="22"/>
        </w:rPr>
        <w:t xml:space="preserve">, </w:t>
      </w:r>
      <w:r>
        <w:rPr>
          <w:rFonts w:ascii="Calibri" w:hAnsi="Calibri" w:cs="Calibri"/>
          <w:sz w:val="22"/>
          <w:szCs w:val="22"/>
        </w:rPr>
        <w:t xml:space="preserve">which provided learning and capacity building for trainees and teams, and produced </w:t>
      </w:r>
      <w:r w:rsidR="00363CFB">
        <w:rPr>
          <w:rFonts w:ascii="Calibri" w:hAnsi="Calibri" w:cs="Calibri"/>
          <w:sz w:val="22"/>
          <w:szCs w:val="22"/>
        </w:rPr>
        <w:t>tangible improvements for service providers and their clients</w:t>
      </w:r>
      <w:r w:rsidR="003231B8">
        <w:rPr>
          <w:rFonts w:ascii="Calibri" w:hAnsi="Calibri" w:cs="Calibri"/>
          <w:sz w:val="22"/>
          <w:szCs w:val="22"/>
        </w:rPr>
        <w:t xml:space="preserve">. These included </w:t>
      </w:r>
      <w:r w:rsidR="00781C14">
        <w:rPr>
          <w:rFonts w:ascii="Calibri" w:hAnsi="Calibri" w:cs="Calibri"/>
          <w:sz w:val="22"/>
          <w:szCs w:val="22"/>
        </w:rPr>
        <w:t xml:space="preserve">new </w:t>
      </w:r>
      <w:r w:rsidR="00205DD5">
        <w:rPr>
          <w:rFonts w:ascii="Calibri" w:hAnsi="Calibri" w:cs="Calibri"/>
          <w:sz w:val="22"/>
          <w:szCs w:val="22"/>
        </w:rPr>
        <w:t>and expanded local services,</w:t>
      </w:r>
      <w:r w:rsidR="00571776">
        <w:rPr>
          <w:rFonts w:ascii="Calibri" w:hAnsi="Calibri" w:cs="Calibri"/>
          <w:sz w:val="22"/>
          <w:szCs w:val="22"/>
        </w:rPr>
        <w:t xml:space="preserve"> quality improvements</w:t>
      </w:r>
      <w:r w:rsidR="002E3DF1">
        <w:rPr>
          <w:rFonts w:ascii="Calibri" w:hAnsi="Calibri" w:cs="Calibri"/>
          <w:sz w:val="22"/>
          <w:szCs w:val="22"/>
        </w:rPr>
        <w:t xml:space="preserve"> and new models of care</w:t>
      </w:r>
      <w:r w:rsidR="00205DD5">
        <w:rPr>
          <w:rFonts w:ascii="Calibri" w:hAnsi="Calibri" w:cs="Calibri"/>
          <w:sz w:val="22"/>
          <w:szCs w:val="22"/>
        </w:rPr>
        <w:t xml:space="preserve"> e.g. new falls prevention program</w:t>
      </w:r>
      <w:r w:rsidR="00D75FA1">
        <w:rPr>
          <w:rFonts w:ascii="Calibri" w:hAnsi="Calibri" w:cs="Calibri"/>
          <w:sz w:val="22"/>
          <w:szCs w:val="22"/>
        </w:rPr>
        <w:t xml:space="preserve">, </w:t>
      </w:r>
      <w:r w:rsidR="00B56B1B">
        <w:rPr>
          <w:rFonts w:ascii="Calibri" w:hAnsi="Calibri" w:cs="Calibri"/>
          <w:sz w:val="22"/>
          <w:szCs w:val="22"/>
        </w:rPr>
        <w:t xml:space="preserve">expansion of </w:t>
      </w:r>
      <w:r w:rsidR="003231B8">
        <w:rPr>
          <w:rFonts w:ascii="Calibri" w:hAnsi="Calibri" w:cs="Calibri"/>
          <w:sz w:val="22"/>
          <w:szCs w:val="22"/>
        </w:rPr>
        <w:t xml:space="preserve">a </w:t>
      </w:r>
      <w:r w:rsidR="00B56B1B">
        <w:rPr>
          <w:rFonts w:ascii="Calibri" w:hAnsi="Calibri" w:cs="Calibri"/>
          <w:sz w:val="22"/>
          <w:szCs w:val="22"/>
        </w:rPr>
        <w:t xml:space="preserve">medication review service in the region, </w:t>
      </w:r>
      <w:r w:rsidR="002E3DF1">
        <w:rPr>
          <w:rFonts w:ascii="Calibri" w:hAnsi="Calibri" w:cs="Calibri"/>
          <w:sz w:val="22"/>
          <w:szCs w:val="22"/>
        </w:rPr>
        <w:t>training packages developed for</w:t>
      </w:r>
      <w:r w:rsidR="00A45C7D">
        <w:rPr>
          <w:rFonts w:ascii="Calibri" w:hAnsi="Calibri" w:cs="Calibri"/>
          <w:sz w:val="22"/>
          <w:szCs w:val="22"/>
        </w:rPr>
        <w:t xml:space="preserve"> </w:t>
      </w:r>
      <w:r w:rsidR="006416C8">
        <w:rPr>
          <w:rFonts w:ascii="Calibri" w:hAnsi="Calibri" w:cs="Calibri"/>
          <w:sz w:val="22"/>
          <w:szCs w:val="22"/>
        </w:rPr>
        <w:t>families and support workers</w:t>
      </w:r>
      <w:r w:rsidR="00842B05">
        <w:rPr>
          <w:rFonts w:ascii="Calibri" w:hAnsi="Calibri" w:cs="Calibri"/>
          <w:sz w:val="22"/>
          <w:szCs w:val="22"/>
        </w:rPr>
        <w:t xml:space="preserve">, </w:t>
      </w:r>
      <w:r w:rsidR="00B05FE4">
        <w:rPr>
          <w:rFonts w:ascii="Calibri" w:hAnsi="Calibri" w:cs="Calibri"/>
          <w:sz w:val="22"/>
          <w:szCs w:val="22"/>
        </w:rPr>
        <w:t xml:space="preserve">a </w:t>
      </w:r>
      <w:r w:rsidR="00842B05">
        <w:rPr>
          <w:rFonts w:ascii="Calibri" w:hAnsi="Calibri" w:cs="Calibri"/>
          <w:sz w:val="22"/>
          <w:szCs w:val="22"/>
        </w:rPr>
        <w:t>business framework for employment of allied health assistants in private practice</w:t>
      </w:r>
      <w:r w:rsidRPr="001D4DC3">
        <w:rPr>
          <w:rFonts w:ascii="Calibri" w:hAnsi="Calibri" w:cs="Calibri"/>
          <w:sz w:val="22"/>
          <w:szCs w:val="22"/>
        </w:rPr>
        <w:t>.</w:t>
      </w:r>
    </w:p>
    <w:p w14:paraId="41CAAD85" w14:textId="7FD73E98" w:rsidR="00A7022E" w:rsidRPr="00FF615C" w:rsidRDefault="00A7022E" w:rsidP="00FF615C">
      <w:pPr>
        <w:spacing w:after="0"/>
        <w:rPr>
          <w:rFonts w:ascii="Calibri" w:hAnsi="Calibri" w:cs="Calibri"/>
          <w:i/>
          <w:iCs/>
          <w:color w:val="0D707D"/>
          <w:sz w:val="22"/>
          <w:szCs w:val="22"/>
        </w:rPr>
      </w:pPr>
      <w:r w:rsidRPr="00FF615C">
        <w:rPr>
          <w:rFonts w:ascii="Calibri" w:hAnsi="Calibri" w:cs="Calibri"/>
          <w:i/>
          <w:iCs/>
          <w:color w:val="0D707D"/>
          <w:sz w:val="22"/>
          <w:szCs w:val="22"/>
        </w:rPr>
        <w:t xml:space="preserve">Key </w:t>
      </w:r>
      <w:r w:rsidR="00284DC5" w:rsidRPr="00FF615C">
        <w:rPr>
          <w:rFonts w:ascii="Calibri" w:hAnsi="Calibri" w:cs="Calibri"/>
          <w:i/>
          <w:iCs/>
          <w:color w:val="0D707D"/>
          <w:sz w:val="22"/>
          <w:szCs w:val="22"/>
        </w:rPr>
        <w:t>Challenges</w:t>
      </w:r>
      <w:r w:rsidRPr="00FF615C">
        <w:rPr>
          <w:rFonts w:ascii="Calibri" w:hAnsi="Calibri" w:cs="Calibri"/>
          <w:i/>
          <w:iCs/>
          <w:color w:val="0D707D"/>
          <w:sz w:val="22"/>
          <w:szCs w:val="22"/>
        </w:rPr>
        <w:t>:</w:t>
      </w:r>
    </w:p>
    <w:p w14:paraId="3E8DF06A" w14:textId="77777777" w:rsidR="00017B62" w:rsidRDefault="00017B62" w:rsidP="00891C52">
      <w:pPr>
        <w:pStyle w:val="ListParagraph"/>
        <w:numPr>
          <w:ilvl w:val="0"/>
          <w:numId w:val="7"/>
        </w:numPr>
        <w:rPr>
          <w:rFonts w:ascii="Calibri" w:hAnsi="Calibri" w:cs="Calibri"/>
          <w:sz w:val="22"/>
          <w:szCs w:val="22"/>
        </w:rPr>
      </w:pPr>
      <w:r w:rsidRPr="00017B62">
        <w:rPr>
          <w:rFonts w:ascii="Calibri" w:hAnsi="Calibri" w:cs="Calibri"/>
          <w:sz w:val="22"/>
          <w:szCs w:val="22"/>
        </w:rPr>
        <w:t xml:space="preserve">TAHRGETS program implementation was challenged by long-standing rural workforce shortages, with subsequent impact on recruitment, retention and completion rates. </w:t>
      </w:r>
    </w:p>
    <w:p w14:paraId="02241412" w14:textId="7D31E2D0" w:rsidR="006C3F6A" w:rsidRDefault="006C3F6A" w:rsidP="00891C52">
      <w:pPr>
        <w:pStyle w:val="ListParagraph"/>
        <w:numPr>
          <w:ilvl w:val="0"/>
          <w:numId w:val="7"/>
        </w:numPr>
        <w:rPr>
          <w:rFonts w:ascii="Calibri" w:hAnsi="Calibri" w:cs="Calibri"/>
          <w:sz w:val="22"/>
          <w:szCs w:val="22"/>
        </w:rPr>
      </w:pPr>
      <w:r w:rsidRPr="006C3F6A">
        <w:rPr>
          <w:rFonts w:ascii="Calibri" w:hAnsi="Calibri" w:cs="Calibri"/>
          <w:sz w:val="22"/>
          <w:szCs w:val="22"/>
        </w:rPr>
        <w:t xml:space="preserve">The </w:t>
      </w:r>
      <w:r>
        <w:rPr>
          <w:rFonts w:ascii="Calibri" w:hAnsi="Calibri" w:cs="Calibri"/>
          <w:sz w:val="22"/>
          <w:szCs w:val="22"/>
        </w:rPr>
        <w:t xml:space="preserve">AHRG Pathway is a relatively new concept for the </w:t>
      </w:r>
      <w:r w:rsidR="00284DC5">
        <w:rPr>
          <w:rFonts w:ascii="Calibri" w:hAnsi="Calibri" w:cs="Calibri"/>
          <w:sz w:val="22"/>
          <w:szCs w:val="22"/>
        </w:rPr>
        <w:t>private and non-government sector</w:t>
      </w:r>
      <w:r w:rsidR="000D5740">
        <w:rPr>
          <w:rFonts w:ascii="Calibri" w:hAnsi="Calibri" w:cs="Calibri"/>
          <w:sz w:val="22"/>
          <w:szCs w:val="22"/>
        </w:rPr>
        <w:t xml:space="preserve">, </w:t>
      </w:r>
      <w:r w:rsidR="00573F2A">
        <w:rPr>
          <w:rFonts w:ascii="Calibri" w:hAnsi="Calibri" w:cs="Calibri"/>
          <w:sz w:val="22"/>
          <w:szCs w:val="22"/>
        </w:rPr>
        <w:t xml:space="preserve">with further engagement, education and </w:t>
      </w:r>
      <w:r w:rsidR="00C94D25">
        <w:rPr>
          <w:rFonts w:ascii="Calibri" w:hAnsi="Calibri" w:cs="Calibri"/>
          <w:sz w:val="22"/>
          <w:szCs w:val="22"/>
        </w:rPr>
        <w:t xml:space="preserve">promotion </w:t>
      </w:r>
      <w:r w:rsidR="00573F2A">
        <w:rPr>
          <w:rFonts w:ascii="Calibri" w:hAnsi="Calibri" w:cs="Calibri"/>
          <w:sz w:val="22"/>
          <w:szCs w:val="22"/>
        </w:rPr>
        <w:t xml:space="preserve">required to </w:t>
      </w:r>
      <w:r w:rsidR="00090B65">
        <w:rPr>
          <w:rFonts w:ascii="Calibri" w:hAnsi="Calibri" w:cs="Calibri"/>
          <w:sz w:val="22"/>
          <w:szCs w:val="22"/>
        </w:rPr>
        <w:t>realise potential benefits of the strategy</w:t>
      </w:r>
      <w:r w:rsidR="00C94D25">
        <w:rPr>
          <w:rFonts w:ascii="Calibri" w:hAnsi="Calibri" w:cs="Calibri"/>
          <w:sz w:val="22"/>
          <w:szCs w:val="22"/>
        </w:rPr>
        <w:t>.</w:t>
      </w:r>
    </w:p>
    <w:p w14:paraId="2E0829EA" w14:textId="4DB7E548" w:rsidR="00A7022E" w:rsidRPr="002953FD" w:rsidRDefault="00AB0F5E" w:rsidP="00333DD3">
      <w:pPr>
        <w:pStyle w:val="ListParagraph"/>
        <w:numPr>
          <w:ilvl w:val="0"/>
          <w:numId w:val="7"/>
        </w:numPr>
        <w:rPr>
          <w:rFonts w:ascii="Calibri" w:hAnsi="Calibri" w:cs="Calibri"/>
          <w:sz w:val="22"/>
          <w:szCs w:val="22"/>
        </w:rPr>
      </w:pPr>
      <w:r>
        <w:rPr>
          <w:rFonts w:ascii="Calibri" w:hAnsi="Calibri" w:cs="Calibri"/>
          <w:sz w:val="22"/>
          <w:szCs w:val="22"/>
        </w:rPr>
        <w:t>S</w:t>
      </w:r>
      <w:r w:rsidR="00891C52" w:rsidRPr="00891C52">
        <w:rPr>
          <w:rFonts w:ascii="Calibri" w:hAnsi="Calibri" w:cs="Calibri"/>
          <w:sz w:val="22"/>
          <w:szCs w:val="22"/>
        </w:rPr>
        <w:t>hort</w:t>
      </w:r>
      <w:r>
        <w:rPr>
          <w:rFonts w:ascii="Calibri" w:hAnsi="Calibri" w:cs="Calibri"/>
          <w:sz w:val="22"/>
          <w:szCs w:val="22"/>
        </w:rPr>
        <w:t>-term</w:t>
      </w:r>
      <w:r w:rsidR="00891C52" w:rsidRPr="00891C52">
        <w:rPr>
          <w:rFonts w:ascii="Calibri" w:hAnsi="Calibri" w:cs="Calibri"/>
          <w:sz w:val="22"/>
          <w:szCs w:val="22"/>
        </w:rPr>
        <w:t xml:space="preserve"> grant timeframe</w:t>
      </w:r>
      <w:r>
        <w:rPr>
          <w:rFonts w:ascii="Calibri" w:hAnsi="Calibri" w:cs="Calibri"/>
          <w:sz w:val="22"/>
          <w:szCs w:val="22"/>
        </w:rPr>
        <w:t xml:space="preserve">s and restrictive funding rules </w:t>
      </w:r>
      <w:r w:rsidR="00B8113B">
        <w:rPr>
          <w:rFonts w:ascii="Calibri" w:hAnsi="Calibri" w:cs="Calibri"/>
          <w:sz w:val="22"/>
          <w:szCs w:val="22"/>
        </w:rPr>
        <w:t xml:space="preserve">conflicted with </w:t>
      </w:r>
      <w:r w:rsidR="005C1D86">
        <w:rPr>
          <w:rFonts w:ascii="Calibri" w:hAnsi="Calibri" w:cs="Calibri"/>
          <w:sz w:val="22"/>
          <w:szCs w:val="22"/>
        </w:rPr>
        <w:t xml:space="preserve">workforce realities in rural and remote areas, particularly recruitment delays and </w:t>
      </w:r>
      <w:r w:rsidR="00917679">
        <w:rPr>
          <w:rFonts w:ascii="Calibri" w:hAnsi="Calibri" w:cs="Calibri"/>
          <w:sz w:val="22"/>
          <w:szCs w:val="22"/>
        </w:rPr>
        <w:t>trainee transfer/</w:t>
      </w:r>
      <w:r w:rsidR="00014FDB">
        <w:rPr>
          <w:rFonts w:ascii="Calibri" w:hAnsi="Calibri" w:cs="Calibri"/>
          <w:sz w:val="22"/>
          <w:szCs w:val="22"/>
        </w:rPr>
        <w:t>turnover due to personal reasons. Improved capacity to transfer funding packages between trainees in an organisation and to</w:t>
      </w:r>
      <w:r w:rsidR="00D520E2">
        <w:rPr>
          <w:rFonts w:ascii="Calibri" w:hAnsi="Calibri" w:cs="Calibri"/>
          <w:sz w:val="22"/>
          <w:szCs w:val="22"/>
        </w:rPr>
        <w:t xml:space="preserve"> follow a trainee who transfers between rural locations or providers would </w:t>
      </w:r>
      <w:r w:rsidR="00333DD3">
        <w:rPr>
          <w:rFonts w:ascii="Calibri" w:hAnsi="Calibri" w:cs="Calibri"/>
          <w:sz w:val="22"/>
          <w:szCs w:val="22"/>
        </w:rPr>
        <w:t>have likely improved completion rates.</w:t>
      </w:r>
    </w:p>
    <w:p w14:paraId="0B62CC36" w14:textId="7E48759D" w:rsidR="00C16469" w:rsidRDefault="00C16469" w:rsidP="00891C52">
      <w:pPr>
        <w:pStyle w:val="ListParagraph"/>
        <w:numPr>
          <w:ilvl w:val="0"/>
          <w:numId w:val="7"/>
        </w:numPr>
        <w:rPr>
          <w:rFonts w:ascii="Calibri" w:hAnsi="Calibri" w:cs="Calibri"/>
          <w:sz w:val="22"/>
          <w:szCs w:val="22"/>
        </w:rPr>
      </w:pPr>
      <w:r>
        <w:rPr>
          <w:rFonts w:ascii="Calibri" w:hAnsi="Calibri" w:cs="Calibri"/>
          <w:sz w:val="22"/>
          <w:szCs w:val="22"/>
        </w:rPr>
        <w:t>Extensive e</w:t>
      </w:r>
      <w:r w:rsidRPr="00C16469">
        <w:rPr>
          <w:rFonts w:ascii="Calibri" w:hAnsi="Calibri" w:cs="Calibri"/>
          <w:sz w:val="22"/>
          <w:szCs w:val="22"/>
        </w:rPr>
        <w:t>ngagement</w:t>
      </w:r>
      <w:r>
        <w:rPr>
          <w:rFonts w:ascii="Calibri" w:hAnsi="Calibri" w:cs="Calibri"/>
          <w:sz w:val="22"/>
          <w:szCs w:val="22"/>
        </w:rPr>
        <w:t xml:space="preserve"> with the First Nations </w:t>
      </w:r>
      <w:r w:rsidR="00333DD3">
        <w:rPr>
          <w:rFonts w:ascii="Calibri" w:hAnsi="Calibri" w:cs="Calibri"/>
          <w:sz w:val="22"/>
          <w:szCs w:val="22"/>
        </w:rPr>
        <w:t xml:space="preserve">health </w:t>
      </w:r>
      <w:r>
        <w:rPr>
          <w:rFonts w:ascii="Calibri" w:hAnsi="Calibri" w:cs="Calibri"/>
          <w:sz w:val="22"/>
          <w:szCs w:val="22"/>
        </w:rPr>
        <w:t>sector</w:t>
      </w:r>
      <w:r w:rsidRPr="00C16469">
        <w:rPr>
          <w:rFonts w:ascii="Calibri" w:hAnsi="Calibri" w:cs="Calibri"/>
          <w:sz w:val="22"/>
          <w:szCs w:val="22"/>
        </w:rPr>
        <w:t xml:space="preserve"> </w:t>
      </w:r>
      <w:r w:rsidR="00485899">
        <w:rPr>
          <w:rFonts w:ascii="Calibri" w:hAnsi="Calibri" w:cs="Calibri"/>
          <w:sz w:val="22"/>
          <w:szCs w:val="22"/>
        </w:rPr>
        <w:t xml:space="preserve">to better understand the limited uptake of TAHRGETS in this sector </w:t>
      </w:r>
      <w:r w:rsidRPr="00C16469">
        <w:rPr>
          <w:rFonts w:ascii="Calibri" w:hAnsi="Calibri" w:cs="Calibri"/>
          <w:sz w:val="22"/>
          <w:szCs w:val="22"/>
        </w:rPr>
        <w:t>identified that just one of the 18 ACCHOs consulted was employing a full team of allied health staff</w:t>
      </w:r>
      <w:r w:rsidR="00EF11B4">
        <w:rPr>
          <w:rFonts w:ascii="Calibri" w:hAnsi="Calibri" w:cs="Calibri"/>
          <w:sz w:val="22"/>
          <w:szCs w:val="22"/>
        </w:rPr>
        <w:t xml:space="preserve">. ACCHOs reported </w:t>
      </w:r>
      <w:r w:rsidR="006A2306">
        <w:rPr>
          <w:rFonts w:ascii="Calibri" w:hAnsi="Calibri" w:cs="Calibri"/>
          <w:sz w:val="22"/>
          <w:szCs w:val="22"/>
        </w:rPr>
        <w:t xml:space="preserve">short-term </w:t>
      </w:r>
      <w:r w:rsidR="00F36149">
        <w:rPr>
          <w:rFonts w:ascii="Calibri" w:hAnsi="Calibri" w:cs="Calibri"/>
          <w:sz w:val="22"/>
          <w:szCs w:val="22"/>
        </w:rPr>
        <w:t>funding streams</w:t>
      </w:r>
      <w:r w:rsidR="00EF11B4">
        <w:rPr>
          <w:rFonts w:ascii="Calibri" w:hAnsi="Calibri" w:cs="Calibri"/>
          <w:sz w:val="22"/>
          <w:szCs w:val="22"/>
        </w:rPr>
        <w:t xml:space="preserve"> impeded </w:t>
      </w:r>
      <w:r w:rsidR="00D774F2">
        <w:rPr>
          <w:rFonts w:ascii="Calibri" w:hAnsi="Calibri" w:cs="Calibri"/>
          <w:sz w:val="22"/>
          <w:szCs w:val="22"/>
        </w:rPr>
        <w:t xml:space="preserve">the establishment </w:t>
      </w:r>
      <w:r w:rsidR="00D774F2">
        <w:rPr>
          <w:rFonts w:ascii="Calibri" w:hAnsi="Calibri" w:cs="Calibri"/>
          <w:sz w:val="22"/>
          <w:szCs w:val="22"/>
        </w:rPr>
        <w:lastRenderedPageBreak/>
        <w:t>of positions</w:t>
      </w:r>
      <w:r w:rsidR="004C3D55">
        <w:rPr>
          <w:rFonts w:ascii="Calibri" w:hAnsi="Calibri" w:cs="Calibri"/>
          <w:sz w:val="22"/>
          <w:szCs w:val="22"/>
        </w:rPr>
        <w:t>.</w:t>
      </w:r>
      <w:r w:rsidR="00B9485A">
        <w:rPr>
          <w:rFonts w:ascii="Calibri" w:hAnsi="Calibri" w:cs="Calibri"/>
          <w:sz w:val="22"/>
          <w:szCs w:val="22"/>
        </w:rPr>
        <w:t xml:space="preserve"> </w:t>
      </w:r>
      <w:r w:rsidR="006B30A8">
        <w:rPr>
          <w:rFonts w:ascii="Calibri" w:hAnsi="Calibri" w:cs="Calibri"/>
          <w:sz w:val="22"/>
          <w:szCs w:val="22"/>
        </w:rPr>
        <w:t>Most</w:t>
      </w:r>
      <w:r w:rsidR="00B9485A" w:rsidRPr="00C16469">
        <w:rPr>
          <w:rFonts w:ascii="Calibri" w:hAnsi="Calibri" w:cs="Calibri"/>
          <w:sz w:val="22"/>
          <w:szCs w:val="22"/>
        </w:rPr>
        <w:t xml:space="preserve"> organisations </w:t>
      </w:r>
      <w:r w:rsidR="006B30A8">
        <w:rPr>
          <w:rFonts w:ascii="Calibri" w:hAnsi="Calibri" w:cs="Calibri"/>
          <w:sz w:val="22"/>
          <w:szCs w:val="22"/>
        </w:rPr>
        <w:t>deliver</w:t>
      </w:r>
      <w:r w:rsidR="00C5555C">
        <w:rPr>
          <w:rFonts w:ascii="Calibri" w:hAnsi="Calibri" w:cs="Calibri"/>
          <w:sz w:val="22"/>
          <w:szCs w:val="22"/>
        </w:rPr>
        <w:t>ed</w:t>
      </w:r>
      <w:r w:rsidR="006B30A8">
        <w:rPr>
          <w:rFonts w:ascii="Calibri" w:hAnsi="Calibri" w:cs="Calibri"/>
          <w:sz w:val="22"/>
          <w:szCs w:val="22"/>
        </w:rPr>
        <w:t xml:space="preserve"> </w:t>
      </w:r>
      <w:r w:rsidR="00E13104">
        <w:rPr>
          <w:rFonts w:ascii="Calibri" w:hAnsi="Calibri" w:cs="Calibri"/>
          <w:sz w:val="22"/>
          <w:szCs w:val="22"/>
        </w:rPr>
        <w:t xml:space="preserve">allied health services through contracted workers, making them ineligible for TAHRGETS. </w:t>
      </w:r>
      <w:r w:rsidR="007B288D">
        <w:rPr>
          <w:rFonts w:ascii="Calibri" w:hAnsi="Calibri" w:cs="Calibri"/>
          <w:sz w:val="22"/>
          <w:szCs w:val="22"/>
        </w:rPr>
        <w:t>Changes to s</w:t>
      </w:r>
      <w:r w:rsidR="00CE0376">
        <w:rPr>
          <w:rFonts w:ascii="Calibri" w:hAnsi="Calibri" w:cs="Calibri"/>
          <w:sz w:val="22"/>
          <w:szCs w:val="22"/>
        </w:rPr>
        <w:t xml:space="preserve">ystem-level impediments to the </w:t>
      </w:r>
      <w:r w:rsidR="007B288D">
        <w:rPr>
          <w:rFonts w:ascii="Calibri" w:hAnsi="Calibri" w:cs="Calibri"/>
          <w:sz w:val="22"/>
          <w:szCs w:val="22"/>
        </w:rPr>
        <w:t>employment of</w:t>
      </w:r>
      <w:r w:rsidR="00CE0376">
        <w:rPr>
          <w:rFonts w:ascii="Calibri" w:hAnsi="Calibri" w:cs="Calibri"/>
          <w:sz w:val="22"/>
          <w:szCs w:val="22"/>
        </w:rPr>
        <w:t xml:space="preserve"> allied health </w:t>
      </w:r>
      <w:r w:rsidR="007B288D">
        <w:rPr>
          <w:rFonts w:ascii="Calibri" w:hAnsi="Calibri" w:cs="Calibri"/>
          <w:sz w:val="22"/>
          <w:szCs w:val="22"/>
        </w:rPr>
        <w:t>teams</w:t>
      </w:r>
      <w:r w:rsidR="00CE0376">
        <w:rPr>
          <w:rFonts w:ascii="Calibri" w:hAnsi="Calibri" w:cs="Calibri"/>
          <w:sz w:val="22"/>
          <w:szCs w:val="22"/>
        </w:rPr>
        <w:t xml:space="preserve"> in ACCHOs </w:t>
      </w:r>
      <w:r w:rsidR="00354BAD">
        <w:rPr>
          <w:rFonts w:ascii="Calibri" w:hAnsi="Calibri" w:cs="Calibri"/>
          <w:sz w:val="22"/>
          <w:szCs w:val="22"/>
        </w:rPr>
        <w:t>would be required</w:t>
      </w:r>
      <w:r w:rsidR="00C5555C">
        <w:rPr>
          <w:rFonts w:ascii="Calibri" w:hAnsi="Calibri" w:cs="Calibri"/>
          <w:sz w:val="22"/>
          <w:szCs w:val="22"/>
        </w:rPr>
        <w:t xml:space="preserve"> to progress </w:t>
      </w:r>
      <w:r w:rsidR="004A42A4">
        <w:rPr>
          <w:rFonts w:ascii="Calibri" w:hAnsi="Calibri" w:cs="Calibri"/>
          <w:sz w:val="22"/>
          <w:szCs w:val="22"/>
        </w:rPr>
        <w:t>AHRG Training Positions in this sector</w:t>
      </w:r>
      <w:r w:rsidR="00B9485A">
        <w:rPr>
          <w:rFonts w:ascii="Calibri" w:hAnsi="Calibri" w:cs="Calibri"/>
          <w:sz w:val="22"/>
          <w:szCs w:val="22"/>
        </w:rPr>
        <w:t xml:space="preserve">. </w:t>
      </w:r>
    </w:p>
    <w:p w14:paraId="07915E2F" w14:textId="77777777" w:rsidR="00FF1BE2" w:rsidRPr="00FF615C" w:rsidRDefault="00FF1BE2" w:rsidP="00FF1BE2">
      <w:pPr>
        <w:spacing w:after="0"/>
        <w:rPr>
          <w:rFonts w:ascii="Calibri" w:hAnsi="Calibri" w:cs="Calibri"/>
          <w:i/>
          <w:iCs/>
          <w:color w:val="0D707D"/>
          <w:sz w:val="22"/>
          <w:szCs w:val="22"/>
        </w:rPr>
      </w:pPr>
      <w:r w:rsidRPr="00FF615C">
        <w:rPr>
          <w:rFonts w:ascii="Calibri" w:hAnsi="Calibri" w:cs="Calibri"/>
          <w:i/>
          <w:iCs/>
          <w:color w:val="0D707D"/>
          <w:sz w:val="22"/>
          <w:szCs w:val="22"/>
        </w:rPr>
        <w:t xml:space="preserve">Key </w:t>
      </w:r>
      <w:r>
        <w:rPr>
          <w:rFonts w:ascii="Calibri" w:hAnsi="Calibri" w:cs="Calibri"/>
          <w:i/>
          <w:iCs/>
          <w:color w:val="0D707D"/>
          <w:sz w:val="22"/>
          <w:szCs w:val="22"/>
        </w:rPr>
        <w:t>messages</w:t>
      </w:r>
      <w:r w:rsidRPr="00FF615C">
        <w:rPr>
          <w:rFonts w:ascii="Calibri" w:hAnsi="Calibri" w:cs="Calibri"/>
          <w:i/>
          <w:iCs/>
          <w:color w:val="0D707D"/>
          <w:sz w:val="22"/>
          <w:szCs w:val="22"/>
        </w:rPr>
        <w:t>:</w:t>
      </w:r>
    </w:p>
    <w:p w14:paraId="433CFDB4" w14:textId="281A2FE5" w:rsidR="00467E08" w:rsidRPr="007370EB" w:rsidRDefault="00467E08" w:rsidP="00467E08">
      <w:pPr>
        <w:pStyle w:val="ListParagraph"/>
        <w:numPr>
          <w:ilvl w:val="0"/>
          <w:numId w:val="7"/>
        </w:numPr>
        <w:rPr>
          <w:rFonts w:ascii="Calibri" w:hAnsi="Calibri" w:cs="Calibri"/>
          <w:sz w:val="22"/>
          <w:szCs w:val="22"/>
        </w:rPr>
      </w:pPr>
      <w:r w:rsidRPr="00C33FB0">
        <w:rPr>
          <w:rFonts w:ascii="Calibri" w:hAnsi="Calibri" w:cs="Calibri"/>
          <w:sz w:val="22"/>
          <w:szCs w:val="22"/>
        </w:rPr>
        <w:t xml:space="preserve">Private and non-government organisations need support to develop </w:t>
      </w:r>
      <w:r>
        <w:rPr>
          <w:rFonts w:ascii="Calibri" w:hAnsi="Calibri" w:cs="Calibri"/>
          <w:sz w:val="22"/>
          <w:szCs w:val="22"/>
        </w:rPr>
        <w:t xml:space="preserve">a sustainable and fit-for-purpose </w:t>
      </w:r>
      <w:r w:rsidRPr="00C33FB0">
        <w:rPr>
          <w:rFonts w:ascii="Calibri" w:hAnsi="Calibri" w:cs="Calibri"/>
          <w:sz w:val="22"/>
          <w:szCs w:val="22"/>
        </w:rPr>
        <w:t>rural and remote allied health workforce. This includes financial support to enable workplace-based training and clinical supervision</w:t>
      </w:r>
      <w:r>
        <w:rPr>
          <w:rFonts w:ascii="Calibri" w:hAnsi="Calibri" w:cs="Calibri"/>
          <w:sz w:val="22"/>
          <w:szCs w:val="22"/>
        </w:rPr>
        <w:t xml:space="preserve"> of early career rural generalist practitioners across a range of allied health professions</w:t>
      </w:r>
      <w:r w:rsidRPr="00C33FB0">
        <w:rPr>
          <w:rFonts w:ascii="Calibri" w:hAnsi="Calibri" w:cs="Calibri"/>
          <w:sz w:val="22"/>
          <w:szCs w:val="22"/>
        </w:rPr>
        <w:t xml:space="preserve">, as well as support to build </w:t>
      </w:r>
      <w:r>
        <w:rPr>
          <w:rFonts w:ascii="Calibri" w:hAnsi="Calibri" w:cs="Calibri"/>
          <w:sz w:val="22"/>
          <w:szCs w:val="22"/>
        </w:rPr>
        <w:t xml:space="preserve">rural generalist </w:t>
      </w:r>
      <w:r w:rsidRPr="00C33FB0">
        <w:rPr>
          <w:rFonts w:ascii="Calibri" w:hAnsi="Calibri" w:cs="Calibri"/>
          <w:sz w:val="22"/>
          <w:szCs w:val="22"/>
        </w:rPr>
        <w:t>workforce capacity.</w:t>
      </w:r>
    </w:p>
    <w:p w14:paraId="6ED6E7FE" w14:textId="11133BC7" w:rsidR="00FF1BE2" w:rsidRDefault="00FF1BE2" w:rsidP="00FF1BE2">
      <w:pPr>
        <w:pStyle w:val="ListParagraph"/>
        <w:numPr>
          <w:ilvl w:val="0"/>
          <w:numId w:val="7"/>
        </w:numPr>
        <w:rPr>
          <w:rFonts w:ascii="Calibri" w:hAnsi="Calibri" w:cs="Calibri"/>
          <w:sz w:val="22"/>
          <w:szCs w:val="22"/>
        </w:rPr>
      </w:pPr>
      <w:r>
        <w:rPr>
          <w:rFonts w:ascii="Calibri" w:hAnsi="Calibri" w:cs="Calibri"/>
          <w:sz w:val="22"/>
          <w:szCs w:val="22"/>
        </w:rPr>
        <w:t>T</w:t>
      </w:r>
      <w:r w:rsidRPr="002A288A">
        <w:rPr>
          <w:rFonts w:ascii="Calibri" w:hAnsi="Calibri" w:cs="Calibri"/>
          <w:sz w:val="22"/>
          <w:szCs w:val="22"/>
        </w:rPr>
        <w:t xml:space="preserve">AHRGETS </w:t>
      </w:r>
      <w:r>
        <w:rPr>
          <w:rFonts w:ascii="Calibri" w:hAnsi="Calibri" w:cs="Calibri"/>
          <w:sz w:val="22"/>
          <w:szCs w:val="22"/>
        </w:rPr>
        <w:t xml:space="preserve">was effective at supporting the development of rural generalist training </w:t>
      </w:r>
      <w:r w:rsidR="00A92A5B">
        <w:rPr>
          <w:rFonts w:ascii="Calibri" w:hAnsi="Calibri" w:cs="Calibri"/>
          <w:sz w:val="22"/>
          <w:szCs w:val="22"/>
        </w:rPr>
        <w:t xml:space="preserve">capacity, </w:t>
      </w:r>
      <w:r>
        <w:rPr>
          <w:rFonts w:ascii="Calibri" w:hAnsi="Calibri" w:cs="Calibri"/>
          <w:sz w:val="22"/>
          <w:szCs w:val="22"/>
        </w:rPr>
        <w:t xml:space="preserve">infrastructure and systems in </w:t>
      </w:r>
      <w:r w:rsidRPr="002A288A">
        <w:rPr>
          <w:rFonts w:ascii="Calibri" w:hAnsi="Calibri" w:cs="Calibri"/>
          <w:sz w:val="22"/>
          <w:szCs w:val="22"/>
        </w:rPr>
        <w:t xml:space="preserve">mainstream private and non-government </w:t>
      </w:r>
      <w:r>
        <w:rPr>
          <w:rFonts w:ascii="Calibri" w:hAnsi="Calibri" w:cs="Calibri"/>
          <w:sz w:val="22"/>
          <w:szCs w:val="22"/>
        </w:rPr>
        <w:t xml:space="preserve">allied health </w:t>
      </w:r>
      <w:r w:rsidRPr="002A288A">
        <w:rPr>
          <w:rFonts w:ascii="Calibri" w:hAnsi="Calibri" w:cs="Calibri"/>
          <w:sz w:val="22"/>
          <w:szCs w:val="22"/>
        </w:rPr>
        <w:t xml:space="preserve">service settings, and for a wide range of professions. </w:t>
      </w:r>
    </w:p>
    <w:p w14:paraId="458F00F2" w14:textId="77777777" w:rsidR="00FF1BE2" w:rsidRDefault="00FF1BE2" w:rsidP="00FF1BE2">
      <w:pPr>
        <w:pStyle w:val="ListParagraph"/>
        <w:numPr>
          <w:ilvl w:val="0"/>
          <w:numId w:val="7"/>
        </w:numPr>
        <w:rPr>
          <w:rFonts w:ascii="Calibri" w:hAnsi="Calibri" w:cs="Calibri"/>
          <w:sz w:val="22"/>
          <w:szCs w:val="22"/>
        </w:rPr>
      </w:pPr>
      <w:r>
        <w:rPr>
          <w:rFonts w:ascii="Calibri" w:hAnsi="Calibri" w:cs="Calibri"/>
          <w:sz w:val="22"/>
          <w:szCs w:val="22"/>
        </w:rPr>
        <w:t>T</w:t>
      </w:r>
      <w:r w:rsidRPr="002A288A">
        <w:rPr>
          <w:rFonts w:ascii="Calibri" w:hAnsi="Calibri" w:cs="Calibri"/>
          <w:sz w:val="22"/>
          <w:szCs w:val="22"/>
        </w:rPr>
        <w:t xml:space="preserve">AHRGETS </w:t>
      </w:r>
      <w:r>
        <w:rPr>
          <w:rFonts w:ascii="Calibri" w:hAnsi="Calibri" w:cs="Calibri"/>
          <w:sz w:val="22"/>
          <w:szCs w:val="22"/>
        </w:rPr>
        <w:t>was</w:t>
      </w:r>
      <w:r w:rsidRPr="002A288A">
        <w:rPr>
          <w:rFonts w:ascii="Calibri" w:hAnsi="Calibri" w:cs="Calibri"/>
          <w:sz w:val="22"/>
          <w:szCs w:val="22"/>
        </w:rPr>
        <w:t xml:space="preserve"> effective in enhancing the skills and knowledge of AHPs, thus improving the capacity and quality of the</w:t>
      </w:r>
      <w:r>
        <w:rPr>
          <w:rFonts w:ascii="Calibri" w:hAnsi="Calibri" w:cs="Calibri"/>
          <w:sz w:val="22"/>
          <w:szCs w:val="22"/>
        </w:rPr>
        <w:t xml:space="preserve"> rural and remote</w:t>
      </w:r>
      <w:r w:rsidRPr="002A288A">
        <w:rPr>
          <w:rFonts w:ascii="Calibri" w:hAnsi="Calibri" w:cs="Calibri"/>
          <w:sz w:val="22"/>
          <w:szCs w:val="22"/>
        </w:rPr>
        <w:t xml:space="preserve"> allied health workforce</w:t>
      </w:r>
      <w:r>
        <w:rPr>
          <w:rFonts w:ascii="Calibri" w:hAnsi="Calibri" w:cs="Calibri"/>
          <w:sz w:val="22"/>
          <w:szCs w:val="22"/>
        </w:rPr>
        <w:t>.</w:t>
      </w:r>
      <w:r w:rsidRPr="002A288A">
        <w:rPr>
          <w:rFonts w:ascii="Calibri" w:hAnsi="Calibri" w:cs="Calibri"/>
          <w:sz w:val="22"/>
          <w:szCs w:val="22"/>
        </w:rPr>
        <w:t xml:space="preserve"> </w:t>
      </w:r>
    </w:p>
    <w:p w14:paraId="248814C3" w14:textId="7C43E1F2" w:rsidR="00470DE2" w:rsidRDefault="00470DE2" w:rsidP="001B4360">
      <w:pPr>
        <w:rPr>
          <w:rFonts w:ascii="Calibri" w:hAnsi="Calibri" w:cs="Calibri"/>
          <w:b/>
          <w:bCs/>
          <w:color w:val="0D707D"/>
          <w:sz w:val="22"/>
          <w:szCs w:val="22"/>
        </w:rPr>
      </w:pPr>
      <w:r>
        <w:rPr>
          <w:rFonts w:ascii="Calibri" w:hAnsi="Calibri" w:cs="Calibri"/>
          <w:b/>
          <w:bCs/>
          <w:color w:val="0D707D"/>
          <w:sz w:val="22"/>
          <w:szCs w:val="22"/>
        </w:rPr>
        <w:t>Implications</w:t>
      </w:r>
      <w:r w:rsidR="00B30A57">
        <w:rPr>
          <w:rFonts w:ascii="Calibri" w:hAnsi="Calibri" w:cs="Calibri"/>
          <w:b/>
          <w:bCs/>
          <w:color w:val="0D707D"/>
          <w:sz w:val="22"/>
          <w:szCs w:val="22"/>
        </w:rPr>
        <w:t xml:space="preserve"> for policy makers</w:t>
      </w:r>
      <w:r>
        <w:rPr>
          <w:rFonts w:ascii="Calibri" w:hAnsi="Calibri" w:cs="Calibri"/>
          <w:b/>
          <w:bCs/>
          <w:color w:val="0D707D"/>
          <w:sz w:val="22"/>
          <w:szCs w:val="22"/>
        </w:rPr>
        <w:t>:</w:t>
      </w:r>
    </w:p>
    <w:p w14:paraId="53AC29DD" w14:textId="4711D741" w:rsidR="005F53D6" w:rsidRDefault="005F53D6" w:rsidP="005F53D6">
      <w:pPr>
        <w:pStyle w:val="ListParagraph"/>
        <w:numPr>
          <w:ilvl w:val="0"/>
          <w:numId w:val="6"/>
        </w:numPr>
        <w:rPr>
          <w:rFonts w:ascii="Calibri" w:hAnsi="Calibri" w:cs="Calibri"/>
          <w:sz w:val="22"/>
          <w:szCs w:val="22"/>
        </w:rPr>
      </w:pPr>
      <w:r>
        <w:rPr>
          <w:rFonts w:ascii="Calibri" w:hAnsi="Calibri" w:cs="Calibri"/>
          <w:sz w:val="22"/>
          <w:szCs w:val="22"/>
        </w:rPr>
        <w:t xml:space="preserve">Australian Government funding for TAHRGETS and creation of a National AHRG </w:t>
      </w:r>
      <w:r w:rsidRPr="00D61334">
        <w:rPr>
          <w:rFonts w:ascii="Calibri" w:hAnsi="Calibri" w:cs="Calibri"/>
          <w:sz w:val="22"/>
          <w:szCs w:val="22"/>
        </w:rPr>
        <w:t>Pathway conclude</w:t>
      </w:r>
      <w:r w:rsidR="00D61334" w:rsidRPr="00D61334">
        <w:rPr>
          <w:rFonts w:ascii="Calibri" w:hAnsi="Calibri" w:cs="Calibri"/>
          <w:sz w:val="22"/>
          <w:szCs w:val="22"/>
        </w:rPr>
        <w:t>s in December 2025</w:t>
      </w:r>
      <w:r w:rsidR="00C447E7" w:rsidRPr="00D61334">
        <w:rPr>
          <w:rFonts w:ascii="Calibri" w:hAnsi="Calibri" w:cs="Calibri"/>
          <w:sz w:val="22"/>
          <w:szCs w:val="22"/>
        </w:rPr>
        <w:t xml:space="preserve">. </w:t>
      </w:r>
      <w:r w:rsidRPr="00D61334">
        <w:rPr>
          <w:rFonts w:ascii="Calibri" w:hAnsi="Calibri" w:cs="Calibri"/>
          <w:sz w:val="22"/>
          <w:szCs w:val="22"/>
        </w:rPr>
        <w:t>Positive evaluation findings</w:t>
      </w:r>
      <w:r w:rsidR="003D565F" w:rsidRPr="00D61334">
        <w:rPr>
          <w:rFonts w:ascii="Calibri" w:hAnsi="Calibri" w:cs="Calibri"/>
          <w:sz w:val="22"/>
          <w:szCs w:val="22"/>
        </w:rPr>
        <w:t xml:space="preserve"> </w:t>
      </w:r>
      <w:r w:rsidR="0051575C" w:rsidRPr="00D61334">
        <w:rPr>
          <w:rFonts w:ascii="Calibri" w:hAnsi="Calibri" w:cs="Calibri"/>
          <w:sz w:val="22"/>
          <w:szCs w:val="22"/>
        </w:rPr>
        <w:t xml:space="preserve">indicate </w:t>
      </w:r>
      <w:r w:rsidR="004123C8" w:rsidRPr="00D61334">
        <w:rPr>
          <w:rFonts w:ascii="Calibri" w:hAnsi="Calibri" w:cs="Calibri"/>
          <w:sz w:val="22"/>
          <w:szCs w:val="22"/>
        </w:rPr>
        <w:t xml:space="preserve">further </w:t>
      </w:r>
      <w:r w:rsidR="00030607" w:rsidRPr="00D61334">
        <w:rPr>
          <w:rFonts w:ascii="Calibri" w:hAnsi="Calibri" w:cs="Calibri"/>
          <w:sz w:val="22"/>
          <w:szCs w:val="22"/>
        </w:rPr>
        <w:t xml:space="preserve">policy and funding </w:t>
      </w:r>
      <w:r w:rsidR="00D80849" w:rsidRPr="00D61334">
        <w:rPr>
          <w:rFonts w:ascii="Calibri" w:hAnsi="Calibri" w:cs="Calibri"/>
          <w:sz w:val="22"/>
          <w:szCs w:val="22"/>
        </w:rPr>
        <w:t>measur</w:t>
      </w:r>
      <w:r w:rsidR="00D80849">
        <w:rPr>
          <w:rFonts w:ascii="Calibri" w:hAnsi="Calibri" w:cs="Calibri"/>
          <w:sz w:val="22"/>
          <w:szCs w:val="22"/>
        </w:rPr>
        <w:t>es for the AHRG Pathway can produce benefits for service providers</w:t>
      </w:r>
      <w:r w:rsidR="00674C63">
        <w:rPr>
          <w:rFonts w:ascii="Calibri" w:hAnsi="Calibri" w:cs="Calibri"/>
          <w:sz w:val="22"/>
          <w:szCs w:val="22"/>
        </w:rPr>
        <w:t>, funders and the community.</w:t>
      </w:r>
    </w:p>
    <w:p w14:paraId="76C55D96" w14:textId="34A3C5BB" w:rsidR="00DB0A8A" w:rsidRDefault="00DB0A8A" w:rsidP="007370EB">
      <w:pPr>
        <w:pStyle w:val="ListParagraph"/>
        <w:numPr>
          <w:ilvl w:val="0"/>
          <w:numId w:val="6"/>
        </w:numPr>
        <w:rPr>
          <w:rFonts w:ascii="Calibri" w:hAnsi="Calibri" w:cs="Calibri"/>
          <w:sz w:val="22"/>
          <w:szCs w:val="22"/>
        </w:rPr>
      </w:pPr>
      <w:r>
        <w:rPr>
          <w:rFonts w:ascii="Calibri" w:hAnsi="Calibri" w:cs="Calibri"/>
          <w:sz w:val="22"/>
          <w:szCs w:val="22"/>
        </w:rPr>
        <w:t>The AHRG Pathway aligns with the</w:t>
      </w:r>
      <w:r w:rsidR="00571E82">
        <w:rPr>
          <w:rFonts w:ascii="Calibri" w:hAnsi="Calibri" w:cs="Calibri"/>
          <w:sz w:val="22"/>
          <w:szCs w:val="22"/>
        </w:rPr>
        <w:t xml:space="preserve"> objectives of </w:t>
      </w:r>
      <w:r w:rsidR="00571E82" w:rsidRPr="00971ABC">
        <w:rPr>
          <w:rFonts w:ascii="Calibri" w:hAnsi="Calibri" w:cs="Calibri"/>
          <w:sz w:val="22"/>
          <w:szCs w:val="22"/>
        </w:rPr>
        <w:t>the</w:t>
      </w:r>
      <w:r w:rsidRPr="00971ABC">
        <w:rPr>
          <w:rFonts w:ascii="Calibri" w:hAnsi="Calibri" w:cs="Calibri"/>
          <w:sz w:val="22"/>
          <w:szCs w:val="22"/>
        </w:rPr>
        <w:t xml:space="preserve"> </w:t>
      </w:r>
      <w:r w:rsidRPr="00971ABC">
        <w:rPr>
          <w:rFonts w:ascii="Calibri" w:hAnsi="Calibri" w:cs="Calibri"/>
          <w:i/>
          <w:iCs/>
          <w:sz w:val="22"/>
          <w:szCs w:val="22"/>
        </w:rPr>
        <w:t>National Allied Health Workforce Strategy</w:t>
      </w:r>
      <w:r w:rsidRPr="00971ABC">
        <w:rPr>
          <w:rFonts w:ascii="Calibri" w:hAnsi="Calibri" w:cs="Calibri"/>
          <w:sz w:val="22"/>
          <w:szCs w:val="22"/>
        </w:rPr>
        <w:t xml:space="preserve"> (Australian Government 2025), in draft at the time of writing</w:t>
      </w:r>
      <w:r w:rsidR="008A3D8F" w:rsidRPr="007370EB">
        <w:rPr>
          <w:rFonts w:ascii="Calibri" w:hAnsi="Calibri" w:cs="Calibri"/>
          <w:sz w:val="22"/>
          <w:szCs w:val="22"/>
        </w:rPr>
        <w:t>.</w:t>
      </w:r>
      <w:r w:rsidRPr="00DB0A8A">
        <w:rPr>
          <w:rFonts w:ascii="Calibri" w:hAnsi="Calibri" w:cs="Calibri"/>
          <w:sz w:val="22"/>
          <w:szCs w:val="22"/>
        </w:rPr>
        <w:t xml:space="preserve"> The </w:t>
      </w:r>
      <w:r w:rsidR="005C4BD3">
        <w:rPr>
          <w:rFonts w:ascii="Calibri" w:hAnsi="Calibri" w:cs="Calibri"/>
          <w:sz w:val="22"/>
          <w:szCs w:val="22"/>
        </w:rPr>
        <w:t>S</w:t>
      </w:r>
      <w:r w:rsidRPr="00DB0A8A">
        <w:rPr>
          <w:rFonts w:ascii="Calibri" w:hAnsi="Calibri" w:cs="Calibri"/>
          <w:sz w:val="22"/>
          <w:szCs w:val="22"/>
        </w:rPr>
        <w:t xml:space="preserve">trategy </w:t>
      </w:r>
      <w:r w:rsidR="00EB2941">
        <w:rPr>
          <w:rFonts w:ascii="Calibri" w:hAnsi="Calibri" w:cs="Calibri"/>
          <w:sz w:val="22"/>
          <w:szCs w:val="22"/>
        </w:rPr>
        <w:t xml:space="preserve">will </w:t>
      </w:r>
      <w:r w:rsidR="00B84E81">
        <w:rPr>
          <w:rFonts w:ascii="Calibri" w:hAnsi="Calibri" w:cs="Calibri"/>
          <w:sz w:val="22"/>
          <w:szCs w:val="22"/>
        </w:rPr>
        <w:t xml:space="preserve">outline </w:t>
      </w:r>
      <w:r w:rsidRPr="00DB0A8A">
        <w:rPr>
          <w:rFonts w:ascii="Calibri" w:hAnsi="Calibri" w:cs="Calibri"/>
          <w:sz w:val="22"/>
          <w:szCs w:val="22"/>
        </w:rPr>
        <w:t>how to better align the supply</w:t>
      </w:r>
      <w:r w:rsidR="00571E82">
        <w:rPr>
          <w:rFonts w:ascii="Calibri" w:hAnsi="Calibri" w:cs="Calibri"/>
          <w:sz w:val="22"/>
          <w:szCs w:val="22"/>
        </w:rPr>
        <w:t xml:space="preserve"> and distribution</w:t>
      </w:r>
      <w:r w:rsidRPr="00DB0A8A">
        <w:rPr>
          <w:rFonts w:ascii="Calibri" w:hAnsi="Calibri" w:cs="Calibri"/>
          <w:sz w:val="22"/>
          <w:szCs w:val="22"/>
        </w:rPr>
        <w:t xml:space="preserve"> of allied health professionals with current and future needs.</w:t>
      </w:r>
      <w:r w:rsidR="00753533">
        <w:rPr>
          <w:rFonts w:ascii="Calibri" w:hAnsi="Calibri" w:cs="Calibri"/>
          <w:sz w:val="22"/>
          <w:szCs w:val="22"/>
        </w:rPr>
        <w:t xml:space="preserve"> TAHRGETS has demonstrated success in this objective</w:t>
      </w:r>
      <w:r w:rsidR="00B64DF9">
        <w:rPr>
          <w:rFonts w:ascii="Calibri" w:hAnsi="Calibri" w:cs="Calibri"/>
          <w:sz w:val="22"/>
          <w:szCs w:val="22"/>
        </w:rPr>
        <w:t xml:space="preserve"> and program expansion is recommended.</w:t>
      </w:r>
    </w:p>
    <w:p w14:paraId="1A00C3BE" w14:textId="2AB5FBF5" w:rsidR="00AE1115" w:rsidRDefault="00AE1115" w:rsidP="007370EB">
      <w:pPr>
        <w:pStyle w:val="ListParagraph"/>
        <w:numPr>
          <w:ilvl w:val="0"/>
          <w:numId w:val="6"/>
        </w:numPr>
        <w:rPr>
          <w:rFonts w:ascii="Calibri" w:hAnsi="Calibri" w:cs="Calibri"/>
          <w:sz w:val="22"/>
          <w:szCs w:val="22"/>
        </w:rPr>
      </w:pPr>
      <w:r w:rsidRPr="00AE1115">
        <w:rPr>
          <w:rFonts w:ascii="Calibri" w:hAnsi="Calibri" w:cs="Calibri"/>
          <w:sz w:val="22"/>
          <w:szCs w:val="22"/>
        </w:rPr>
        <w:t xml:space="preserve">Allied Health Rural Generalist </w:t>
      </w:r>
      <w:r w:rsidR="00466EF3">
        <w:rPr>
          <w:rFonts w:ascii="Calibri" w:hAnsi="Calibri" w:cs="Calibri"/>
          <w:sz w:val="22"/>
          <w:szCs w:val="22"/>
        </w:rPr>
        <w:t>T</w:t>
      </w:r>
      <w:r w:rsidRPr="00AE1115">
        <w:rPr>
          <w:rFonts w:ascii="Calibri" w:hAnsi="Calibri" w:cs="Calibri"/>
          <w:sz w:val="22"/>
          <w:szCs w:val="22"/>
        </w:rPr>
        <w:t xml:space="preserve">raining </w:t>
      </w:r>
      <w:r w:rsidR="00466EF3">
        <w:rPr>
          <w:rFonts w:ascii="Calibri" w:hAnsi="Calibri" w:cs="Calibri"/>
          <w:sz w:val="22"/>
          <w:szCs w:val="22"/>
        </w:rPr>
        <w:t>P</w:t>
      </w:r>
      <w:r w:rsidRPr="00AE1115">
        <w:rPr>
          <w:rFonts w:ascii="Calibri" w:hAnsi="Calibri" w:cs="Calibri"/>
          <w:sz w:val="22"/>
          <w:szCs w:val="22"/>
        </w:rPr>
        <w:t>ositions demonstrate a promising contribution to rural career pathways</w:t>
      </w:r>
      <w:r w:rsidR="007B7385">
        <w:rPr>
          <w:rFonts w:ascii="Calibri" w:hAnsi="Calibri" w:cs="Calibri"/>
          <w:sz w:val="22"/>
          <w:szCs w:val="22"/>
        </w:rPr>
        <w:t xml:space="preserve"> and workforce sustainability</w:t>
      </w:r>
      <w:r w:rsidRPr="00AE1115">
        <w:rPr>
          <w:rFonts w:ascii="Calibri" w:hAnsi="Calibri" w:cs="Calibri"/>
          <w:sz w:val="22"/>
          <w:szCs w:val="22"/>
        </w:rPr>
        <w:t xml:space="preserve">. However, formal recognition mechanisms for allied health rural generalists do not yet exist. Opportunities for career advancement, recognition of advanced or expert skills sets, and financial incentives </w:t>
      </w:r>
      <w:r w:rsidR="00B36EC4">
        <w:rPr>
          <w:rFonts w:ascii="Calibri" w:hAnsi="Calibri" w:cs="Calibri"/>
          <w:sz w:val="22"/>
          <w:szCs w:val="22"/>
        </w:rPr>
        <w:t xml:space="preserve">for </w:t>
      </w:r>
      <w:r w:rsidR="00E31B00">
        <w:rPr>
          <w:rFonts w:ascii="Calibri" w:hAnsi="Calibri" w:cs="Calibri"/>
          <w:sz w:val="22"/>
          <w:szCs w:val="22"/>
        </w:rPr>
        <w:t xml:space="preserve">rural generalist </w:t>
      </w:r>
      <w:r w:rsidR="00221F11">
        <w:rPr>
          <w:rFonts w:ascii="Calibri" w:hAnsi="Calibri" w:cs="Calibri"/>
          <w:sz w:val="22"/>
          <w:szCs w:val="22"/>
        </w:rPr>
        <w:t>practitioners</w:t>
      </w:r>
      <w:r w:rsidRPr="00AE1115">
        <w:rPr>
          <w:rFonts w:ascii="Calibri" w:hAnsi="Calibri" w:cs="Calibri"/>
          <w:sz w:val="22"/>
          <w:szCs w:val="22"/>
        </w:rPr>
        <w:t>, may improve retention and training completion rates.</w:t>
      </w:r>
    </w:p>
    <w:p w14:paraId="179FCE5D" w14:textId="785291C7" w:rsidR="00470DE2" w:rsidRDefault="006625B9" w:rsidP="001B4360">
      <w:pPr>
        <w:rPr>
          <w:rFonts w:ascii="Calibri" w:hAnsi="Calibri" w:cs="Calibri"/>
          <w:b/>
          <w:bCs/>
          <w:color w:val="0D707D"/>
          <w:sz w:val="22"/>
          <w:szCs w:val="22"/>
        </w:rPr>
      </w:pPr>
      <w:r>
        <w:rPr>
          <w:rFonts w:ascii="Calibri" w:hAnsi="Calibri" w:cs="Calibri"/>
          <w:b/>
          <w:bCs/>
          <w:color w:val="0D707D"/>
          <w:sz w:val="22"/>
          <w:szCs w:val="22"/>
        </w:rPr>
        <w:t>Further Information:</w:t>
      </w:r>
    </w:p>
    <w:p w14:paraId="655FE994" w14:textId="77777777" w:rsidR="00A910F2" w:rsidRPr="00CF544A" w:rsidRDefault="00A910F2" w:rsidP="00A910F2">
      <w:pPr>
        <w:rPr>
          <w:rFonts w:ascii="Calibri" w:hAnsi="Calibri" w:cs="Calibri"/>
          <w:sz w:val="22"/>
          <w:szCs w:val="22"/>
        </w:rPr>
      </w:pPr>
      <w:r>
        <w:rPr>
          <w:rFonts w:ascii="Calibri" w:hAnsi="Calibri" w:cs="Calibri"/>
          <w:sz w:val="22"/>
          <w:szCs w:val="22"/>
        </w:rPr>
        <w:t xml:space="preserve">Further information on the TAHRGETS is available </w:t>
      </w:r>
      <w:hyperlink r:id="rId10" w:history="1">
        <w:r w:rsidRPr="00101B84">
          <w:rPr>
            <w:rStyle w:val="Hyperlink"/>
            <w:rFonts w:ascii="Calibri" w:hAnsi="Calibri" w:cs="Calibri"/>
            <w:sz w:val="22"/>
            <w:szCs w:val="22"/>
          </w:rPr>
          <w:t>here</w:t>
        </w:r>
      </w:hyperlink>
      <w:r>
        <w:rPr>
          <w:rFonts w:ascii="Calibri" w:hAnsi="Calibri" w:cs="Calibri"/>
          <w:sz w:val="22"/>
          <w:szCs w:val="22"/>
        </w:rPr>
        <w:t xml:space="preserve">. </w:t>
      </w:r>
    </w:p>
    <w:p w14:paraId="4DCC4475" w14:textId="1128DB30" w:rsidR="00A910F2" w:rsidRDefault="00A910F2" w:rsidP="00A910F2">
      <w:pPr>
        <w:rPr>
          <w:rFonts w:ascii="Calibri" w:hAnsi="Calibri" w:cs="Calibri"/>
          <w:sz w:val="22"/>
          <w:szCs w:val="22"/>
        </w:rPr>
      </w:pPr>
      <w:r>
        <w:rPr>
          <w:rFonts w:ascii="Calibri" w:hAnsi="Calibri" w:cs="Calibri"/>
          <w:sz w:val="22"/>
          <w:szCs w:val="22"/>
        </w:rPr>
        <w:t xml:space="preserve">Further details of the TAHRGETS evaluation are published in the </w:t>
      </w:r>
      <w:hyperlink r:id="rId11" w:history="1">
        <w:r w:rsidRPr="00101B84">
          <w:rPr>
            <w:rStyle w:val="Hyperlink"/>
            <w:rFonts w:ascii="Calibri" w:hAnsi="Calibri" w:cs="Calibri"/>
            <w:sz w:val="22"/>
            <w:szCs w:val="22"/>
          </w:rPr>
          <w:t>report</w:t>
        </w:r>
      </w:hyperlink>
      <w:r>
        <w:rPr>
          <w:rFonts w:ascii="Calibri" w:hAnsi="Calibri" w:cs="Calibri"/>
          <w:sz w:val="22"/>
          <w:szCs w:val="22"/>
        </w:rPr>
        <w:t>.</w:t>
      </w:r>
    </w:p>
    <w:p w14:paraId="1631E252" w14:textId="0F530BC5" w:rsidR="001C62DB" w:rsidRDefault="00AD32CA" w:rsidP="001B4360">
      <w:pPr>
        <w:rPr>
          <w:rFonts w:ascii="Calibri" w:hAnsi="Calibri" w:cs="Calibri"/>
          <w:sz w:val="22"/>
          <w:szCs w:val="22"/>
        </w:rPr>
      </w:pPr>
      <w:r w:rsidRPr="00AD32CA">
        <w:rPr>
          <w:rFonts w:ascii="Calibri" w:hAnsi="Calibri" w:cs="Calibri"/>
          <w:sz w:val="22"/>
          <w:szCs w:val="22"/>
        </w:rPr>
        <w:t xml:space="preserve">For additional information or inquires please contact </w:t>
      </w:r>
      <w:r w:rsidR="003C4CE6">
        <w:rPr>
          <w:rFonts w:ascii="Calibri" w:hAnsi="Calibri" w:cs="Calibri"/>
          <w:sz w:val="22"/>
          <w:szCs w:val="22"/>
        </w:rPr>
        <w:t>SARRAH</w:t>
      </w:r>
      <w:r w:rsidRPr="00AD32CA">
        <w:rPr>
          <w:rFonts w:ascii="Calibri" w:hAnsi="Calibri" w:cs="Calibri"/>
          <w:sz w:val="22"/>
          <w:szCs w:val="22"/>
        </w:rPr>
        <w:t xml:space="preserve"> at </w:t>
      </w:r>
      <w:hyperlink r:id="rId12" w:history="1">
        <w:r w:rsidRPr="00AD32CA">
          <w:rPr>
            <w:rStyle w:val="Hyperlink"/>
            <w:rFonts w:ascii="Calibri" w:hAnsi="Calibri" w:cs="Calibri"/>
            <w:color w:val="auto"/>
            <w:sz w:val="22"/>
            <w:szCs w:val="22"/>
          </w:rPr>
          <w:t>sarrah@sarrah.org.au</w:t>
        </w:r>
      </w:hyperlink>
      <w:r w:rsidRPr="00AD32CA">
        <w:rPr>
          <w:rFonts w:ascii="Calibri" w:hAnsi="Calibri" w:cs="Calibri"/>
          <w:sz w:val="22"/>
          <w:szCs w:val="22"/>
        </w:rPr>
        <w:t xml:space="preserve"> </w:t>
      </w:r>
    </w:p>
    <w:p w14:paraId="616C316F" w14:textId="77777777" w:rsidR="003C2E48" w:rsidRDefault="003C2E48" w:rsidP="001B4360">
      <w:pPr>
        <w:rPr>
          <w:rFonts w:ascii="Calibri" w:hAnsi="Calibri" w:cs="Calibri"/>
          <w:sz w:val="22"/>
          <w:szCs w:val="22"/>
        </w:rPr>
      </w:pPr>
    </w:p>
    <w:p w14:paraId="43D1D09A" w14:textId="77777777" w:rsidR="003C2E48" w:rsidRPr="00AD32CA" w:rsidRDefault="003C2E48" w:rsidP="001B4360">
      <w:pPr>
        <w:rPr>
          <w:rFonts w:ascii="Calibri" w:hAnsi="Calibri" w:cs="Calibri"/>
          <w:sz w:val="22"/>
          <w:szCs w:val="22"/>
        </w:rPr>
      </w:pPr>
    </w:p>
    <w:sectPr w:rsidR="003C2E48" w:rsidRPr="00AD32CA" w:rsidSect="00AE259E">
      <w:pgSz w:w="11906" w:h="16838"/>
      <w:pgMar w:top="1276"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E60E" w14:textId="77777777" w:rsidR="003E28DF" w:rsidRDefault="003E28DF" w:rsidP="00566687">
      <w:pPr>
        <w:spacing w:after="0" w:line="240" w:lineRule="auto"/>
      </w:pPr>
      <w:r>
        <w:separator/>
      </w:r>
    </w:p>
  </w:endnote>
  <w:endnote w:type="continuationSeparator" w:id="0">
    <w:p w14:paraId="2F97C835" w14:textId="77777777" w:rsidR="003E28DF" w:rsidRDefault="003E28DF" w:rsidP="00566687">
      <w:pPr>
        <w:spacing w:after="0" w:line="240" w:lineRule="auto"/>
      </w:pPr>
      <w:r>
        <w:continuationSeparator/>
      </w:r>
    </w:p>
  </w:endnote>
  <w:endnote w:id="1">
    <w:p w14:paraId="53844BD2" w14:textId="117B8E2C" w:rsidR="00ED0CD0" w:rsidRPr="00C447E7" w:rsidRDefault="00ED0CD0" w:rsidP="0073551E">
      <w:pPr>
        <w:pStyle w:val="EndnoteText"/>
        <w:rPr>
          <w:sz w:val="18"/>
          <w:szCs w:val="18"/>
        </w:rPr>
      </w:pPr>
      <w:r w:rsidRPr="00C447E7">
        <w:rPr>
          <w:rStyle w:val="EndnoteReference"/>
          <w:sz w:val="18"/>
          <w:szCs w:val="18"/>
        </w:rPr>
        <w:endnoteRef/>
      </w:r>
      <w:r w:rsidRPr="00C447E7">
        <w:rPr>
          <w:sz w:val="18"/>
          <w:szCs w:val="18"/>
        </w:rPr>
        <w:t xml:space="preserve"> </w:t>
      </w:r>
      <w:r w:rsidR="0073551E" w:rsidRPr="00C447E7">
        <w:rPr>
          <w:sz w:val="18"/>
          <w:szCs w:val="18"/>
        </w:rPr>
        <w:t xml:space="preserve">Cleland J, </w:t>
      </w:r>
      <w:proofErr w:type="spellStart"/>
      <w:r w:rsidR="0073551E" w:rsidRPr="00C447E7">
        <w:rPr>
          <w:sz w:val="18"/>
          <w:szCs w:val="18"/>
        </w:rPr>
        <w:t>Milte</w:t>
      </w:r>
      <w:proofErr w:type="spellEnd"/>
      <w:r w:rsidR="0073551E" w:rsidRPr="00C447E7">
        <w:rPr>
          <w:sz w:val="18"/>
          <w:szCs w:val="18"/>
        </w:rPr>
        <w:t xml:space="preserve"> R, Khanna D, George S, Brebner C, Campbell N, Tuxworth G, Maloney C, Worley P, Dymmott A. Recruitment, retention and turnover of allied health professionals in rural and remote areas: a quantitative scoping review. Rural and Remote Health 2025; 25:9494. https://doi.org/10.22605/RRH9494</w:t>
      </w:r>
    </w:p>
  </w:endnote>
  <w:endnote w:id="2">
    <w:p w14:paraId="5B40BDF9" w14:textId="1D0CDD65" w:rsidR="00A53735" w:rsidRPr="00C447E7" w:rsidRDefault="00A53735">
      <w:pPr>
        <w:pStyle w:val="EndnoteText"/>
        <w:rPr>
          <w:sz w:val="18"/>
          <w:szCs w:val="18"/>
        </w:rPr>
      </w:pPr>
      <w:r w:rsidRPr="00C447E7">
        <w:rPr>
          <w:rStyle w:val="EndnoteReference"/>
          <w:sz w:val="18"/>
          <w:szCs w:val="18"/>
        </w:rPr>
        <w:endnoteRef/>
      </w:r>
      <w:r w:rsidRPr="00C447E7">
        <w:rPr>
          <w:sz w:val="18"/>
          <w:szCs w:val="18"/>
        </w:rPr>
        <w:t xml:space="preserve"> </w:t>
      </w:r>
      <w:r w:rsidR="00FF4367" w:rsidRPr="00C447E7">
        <w:rPr>
          <w:sz w:val="18"/>
          <w:szCs w:val="18"/>
        </w:rPr>
        <w:t xml:space="preserve">O'Sullivan BG, Worley P. Setting priorities for rural allied health in Australia: a scoping review. Rural and Remote Health. 2020; 20(2): 5719. DOI: </w:t>
      </w:r>
      <w:hyperlink r:id="rId1" w:tgtFrame="_blank" w:history="1">
        <w:r w:rsidR="00FF4367" w:rsidRPr="00C447E7">
          <w:rPr>
            <w:rStyle w:val="Hyperlink"/>
            <w:rFonts w:cstheme="minorHAnsi"/>
            <w:sz w:val="18"/>
            <w:szCs w:val="18"/>
          </w:rPr>
          <w:t>10.22605/RRH5719</w:t>
        </w:r>
      </w:hyperlink>
    </w:p>
  </w:endnote>
  <w:endnote w:id="3">
    <w:p w14:paraId="18BA7E61" w14:textId="2187D648" w:rsidR="00C810CF" w:rsidRPr="00C447E7" w:rsidRDefault="00C810CF">
      <w:pPr>
        <w:pStyle w:val="EndnoteText"/>
        <w:rPr>
          <w:sz w:val="18"/>
          <w:szCs w:val="18"/>
        </w:rPr>
      </w:pPr>
      <w:r w:rsidRPr="00C447E7">
        <w:rPr>
          <w:rStyle w:val="EndnoteReference"/>
          <w:sz w:val="18"/>
          <w:szCs w:val="18"/>
        </w:rPr>
        <w:endnoteRef/>
      </w:r>
      <w:r w:rsidRPr="00C447E7">
        <w:rPr>
          <w:sz w:val="18"/>
          <w:szCs w:val="18"/>
        </w:rPr>
        <w:t xml:space="preserve"> </w:t>
      </w:r>
      <w:r w:rsidR="00EF752C" w:rsidRPr="00C447E7">
        <w:rPr>
          <w:sz w:val="18"/>
          <w:szCs w:val="18"/>
        </w:rPr>
        <w:t xml:space="preserve">Dymmott A, Brebner C, George S, Campbell N, May J, Gill R, et al. The allied health rural generalist pathway: a cost consequence analysis. Rural Remote Health. 2024 Jun; 24(2): 8557. </w:t>
      </w:r>
      <w:r w:rsidR="00EF752C" w:rsidRPr="00C447E7">
        <w:rPr>
          <w:rStyle w:val="id-label"/>
          <w:rFonts w:cstheme="minorHAnsi"/>
          <w:sz w:val="18"/>
          <w:szCs w:val="18"/>
        </w:rPr>
        <w:t xml:space="preserve">DOI: </w:t>
      </w:r>
      <w:hyperlink r:id="rId2" w:tgtFrame="_blank" w:history="1">
        <w:r w:rsidR="00EF752C" w:rsidRPr="00C447E7">
          <w:rPr>
            <w:rStyle w:val="Hyperlink"/>
            <w:rFonts w:cstheme="minorHAnsi"/>
            <w:sz w:val="18"/>
            <w:szCs w:val="18"/>
          </w:rPr>
          <w:t>10.22605/RRH8557</w:t>
        </w:r>
      </w:hyperlink>
    </w:p>
  </w:endnote>
  <w:endnote w:id="4">
    <w:p w14:paraId="11BB1C73" w14:textId="6262FAEA" w:rsidR="00DB0C12" w:rsidRDefault="00DB0C12">
      <w:pPr>
        <w:pStyle w:val="EndnoteText"/>
      </w:pPr>
      <w:r w:rsidRPr="00C447E7">
        <w:rPr>
          <w:rStyle w:val="EndnoteReference"/>
          <w:sz w:val="18"/>
          <w:szCs w:val="18"/>
        </w:rPr>
        <w:endnoteRef/>
      </w:r>
      <w:r w:rsidRPr="00C447E7">
        <w:rPr>
          <w:sz w:val="18"/>
          <w:szCs w:val="18"/>
        </w:rPr>
        <w:t xml:space="preserve"> Sen Gupta T, Manahan D, Lennox D, Taylor N, Stewart, R, Telfer J, et al. The Queensland Health Rural Generalist Pathway: Demonstrable Impacts on Rural Medical Workforce. Proceedings of the 13th National Rural Health Conference; 2015 May 24-27; Darwin, NT. Available: </w:t>
      </w:r>
      <w:hyperlink r:id="rId3" w:history="1">
        <w:r w:rsidRPr="00C447E7">
          <w:rPr>
            <w:rStyle w:val="Hyperlink"/>
            <w:rFonts w:cstheme="minorHAnsi"/>
            <w:sz w:val="18"/>
            <w:szCs w:val="18"/>
          </w:rPr>
          <w:t>http://www.ruralhealth.org.au/13nrhc/images/B1_Tarun_Sen_Gupta.pdf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EF69" w14:textId="77777777" w:rsidR="003E28DF" w:rsidRDefault="003E28DF" w:rsidP="00566687">
      <w:pPr>
        <w:spacing w:after="0" w:line="240" w:lineRule="auto"/>
      </w:pPr>
      <w:r>
        <w:separator/>
      </w:r>
    </w:p>
  </w:footnote>
  <w:footnote w:type="continuationSeparator" w:id="0">
    <w:p w14:paraId="2EA1B335" w14:textId="77777777" w:rsidR="003E28DF" w:rsidRDefault="003E28DF" w:rsidP="00566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67871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559CB"/>
    <w:multiLevelType w:val="hybridMultilevel"/>
    <w:tmpl w:val="2548A2F6"/>
    <w:lvl w:ilvl="0" w:tplc="0C090001">
      <w:start w:val="1"/>
      <w:numFmt w:val="bullet"/>
      <w:lvlText w:val=""/>
      <w:lvlJc w:val="left"/>
      <w:pPr>
        <w:ind w:left="-1274" w:hanging="360"/>
      </w:pPr>
      <w:rPr>
        <w:rFonts w:ascii="Symbol" w:hAnsi="Symbol" w:hint="default"/>
      </w:rPr>
    </w:lvl>
    <w:lvl w:ilvl="1" w:tplc="0C090003">
      <w:start w:val="1"/>
      <w:numFmt w:val="bullet"/>
      <w:lvlText w:val="o"/>
      <w:lvlJc w:val="left"/>
      <w:pPr>
        <w:ind w:left="-554" w:hanging="360"/>
      </w:pPr>
      <w:rPr>
        <w:rFonts w:ascii="Courier New" w:hAnsi="Courier New" w:cs="Courier New" w:hint="default"/>
      </w:rPr>
    </w:lvl>
    <w:lvl w:ilvl="2" w:tplc="0C090005">
      <w:start w:val="1"/>
      <w:numFmt w:val="bullet"/>
      <w:lvlText w:val=""/>
      <w:lvlJc w:val="left"/>
      <w:pPr>
        <w:ind w:left="166" w:hanging="360"/>
      </w:pPr>
      <w:rPr>
        <w:rFonts w:ascii="Wingdings" w:hAnsi="Wingdings" w:hint="default"/>
      </w:rPr>
    </w:lvl>
    <w:lvl w:ilvl="3" w:tplc="0C090001">
      <w:start w:val="1"/>
      <w:numFmt w:val="bullet"/>
      <w:lvlText w:val=""/>
      <w:lvlJc w:val="left"/>
      <w:pPr>
        <w:ind w:left="886" w:hanging="360"/>
      </w:pPr>
      <w:rPr>
        <w:rFonts w:ascii="Symbol" w:hAnsi="Symbol" w:hint="default"/>
      </w:rPr>
    </w:lvl>
    <w:lvl w:ilvl="4" w:tplc="0C090003">
      <w:start w:val="1"/>
      <w:numFmt w:val="bullet"/>
      <w:lvlText w:val="o"/>
      <w:lvlJc w:val="left"/>
      <w:pPr>
        <w:ind w:left="1606" w:hanging="360"/>
      </w:pPr>
      <w:rPr>
        <w:rFonts w:ascii="Courier New" w:hAnsi="Courier New" w:cs="Courier New" w:hint="default"/>
      </w:rPr>
    </w:lvl>
    <w:lvl w:ilvl="5" w:tplc="0C090005">
      <w:start w:val="1"/>
      <w:numFmt w:val="bullet"/>
      <w:lvlText w:val=""/>
      <w:lvlJc w:val="left"/>
      <w:pPr>
        <w:ind w:left="2326" w:hanging="360"/>
      </w:pPr>
      <w:rPr>
        <w:rFonts w:ascii="Wingdings" w:hAnsi="Wingdings" w:hint="default"/>
      </w:rPr>
    </w:lvl>
    <w:lvl w:ilvl="6" w:tplc="0C090001">
      <w:start w:val="1"/>
      <w:numFmt w:val="bullet"/>
      <w:lvlText w:val=""/>
      <w:lvlJc w:val="left"/>
      <w:pPr>
        <w:ind w:left="3046" w:hanging="360"/>
      </w:pPr>
      <w:rPr>
        <w:rFonts w:ascii="Symbol" w:hAnsi="Symbol" w:hint="default"/>
      </w:rPr>
    </w:lvl>
    <w:lvl w:ilvl="7" w:tplc="0C090003">
      <w:start w:val="1"/>
      <w:numFmt w:val="bullet"/>
      <w:lvlText w:val="o"/>
      <w:lvlJc w:val="left"/>
      <w:pPr>
        <w:ind w:left="3766" w:hanging="360"/>
      </w:pPr>
      <w:rPr>
        <w:rFonts w:ascii="Courier New" w:hAnsi="Courier New" w:cs="Courier New" w:hint="default"/>
      </w:rPr>
    </w:lvl>
    <w:lvl w:ilvl="8" w:tplc="0C090005">
      <w:start w:val="1"/>
      <w:numFmt w:val="bullet"/>
      <w:lvlText w:val=""/>
      <w:lvlJc w:val="left"/>
      <w:pPr>
        <w:ind w:left="4486" w:hanging="360"/>
      </w:pPr>
      <w:rPr>
        <w:rFonts w:ascii="Wingdings" w:hAnsi="Wingdings" w:hint="default"/>
      </w:rPr>
    </w:lvl>
  </w:abstractNum>
  <w:abstractNum w:abstractNumId="2" w15:restartNumberingAfterBreak="0">
    <w:nsid w:val="073233D6"/>
    <w:multiLevelType w:val="hybridMultilevel"/>
    <w:tmpl w:val="A4C49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099388B"/>
    <w:multiLevelType w:val="hybridMultilevel"/>
    <w:tmpl w:val="EFCAD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82279FB"/>
    <w:multiLevelType w:val="hybridMultilevel"/>
    <w:tmpl w:val="E29E6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BAF5E4B"/>
    <w:multiLevelType w:val="hybridMultilevel"/>
    <w:tmpl w:val="45AAFE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08563BF"/>
    <w:multiLevelType w:val="hybridMultilevel"/>
    <w:tmpl w:val="CFA80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1A879DB"/>
    <w:multiLevelType w:val="hybridMultilevel"/>
    <w:tmpl w:val="5128E164"/>
    <w:lvl w:ilvl="0" w:tplc="3E4AFA0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7F7875CD"/>
    <w:multiLevelType w:val="hybridMultilevel"/>
    <w:tmpl w:val="22627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3789601">
    <w:abstractNumId w:val="1"/>
  </w:num>
  <w:num w:numId="2" w16cid:durableId="993950823">
    <w:abstractNumId w:val="2"/>
  </w:num>
  <w:num w:numId="3" w16cid:durableId="1451243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1987234">
    <w:abstractNumId w:val="7"/>
  </w:num>
  <w:num w:numId="5" w16cid:durableId="1732457120">
    <w:abstractNumId w:val="5"/>
  </w:num>
  <w:num w:numId="6" w16cid:durableId="1727096282">
    <w:abstractNumId w:val="3"/>
  </w:num>
  <w:num w:numId="7" w16cid:durableId="1116487939">
    <w:abstractNumId w:val="4"/>
  </w:num>
  <w:num w:numId="8" w16cid:durableId="2102679156">
    <w:abstractNumId w:val="6"/>
  </w:num>
  <w:num w:numId="9" w16cid:durableId="86466803">
    <w:abstractNumId w:val="0"/>
  </w:num>
  <w:num w:numId="10" w16cid:durableId="580604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87"/>
    <w:rsid w:val="0000783C"/>
    <w:rsid w:val="0001154F"/>
    <w:rsid w:val="00014FDB"/>
    <w:rsid w:val="00017B62"/>
    <w:rsid w:val="00030607"/>
    <w:rsid w:val="000341B8"/>
    <w:rsid w:val="000605C8"/>
    <w:rsid w:val="0006259C"/>
    <w:rsid w:val="0006459C"/>
    <w:rsid w:val="00072703"/>
    <w:rsid w:val="00075E8A"/>
    <w:rsid w:val="00076F52"/>
    <w:rsid w:val="00090B65"/>
    <w:rsid w:val="0009276E"/>
    <w:rsid w:val="000A5FBA"/>
    <w:rsid w:val="000A6216"/>
    <w:rsid w:val="000B59DC"/>
    <w:rsid w:val="000C3840"/>
    <w:rsid w:val="000D5740"/>
    <w:rsid w:val="000F3CA8"/>
    <w:rsid w:val="00101B84"/>
    <w:rsid w:val="00103E96"/>
    <w:rsid w:val="00107DE7"/>
    <w:rsid w:val="00116363"/>
    <w:rsid w:val="0013189D"/>
    <w:rsid w:val="00132F60"/>
    <w:rsid w:val="00141EED"/>
    <w:rsid w:val="00142C13"/>
    <w:rsid w:val="00144B7E"/>
    <w:rsid w:val="00153BBD"/>
    <w:rsid w:val="00155C03"/>
    <w:rsid w:val="00161D52"/>
    <w:rsid w:val="00172DA7"/>
    <w:rsid w:val="0017675E"/>
    <w:rsid w:val="00183971"/>
    <w:rsid w:val="00191299"/>
    <w:rsid w:val="00196FA3"/>
    <w:rsid w:val="001A289F"/>
    <w:rsid w:val="001B4360"/>
    <w:rsid w:val="001C2F60"/>
    <w:rsid w:val="001C62DB"/>
    <w:rsid w:val="001D4DC3"/>
    <w:rsid w:val="001D5742"/>
    <w:rsid w:val="001D7282"/>
    <w:rsid w:val="001E4B82"/>
    <w:rsid w:val="001F1043"/>
    <w:rsid w:val="001F3210"/>
    <w:rsid w:val="00205DD5"/>
    <w:rsid w:val="00211E56"/>
    <w:rsid w:val="00212A80"/>
    <w:rsid w:val="00221F11"/>
    <w:rsid w:val="00223A98"/>
    <w:rsid w:val="00223D35"/>
    <w:rsid w:val="002254D9"/>
    <w:rsid w:val="00236256"/>
    <w:rsid w:val="00236AB2"/>
    <w:rsid w:val="00240871"/>
    <w:rsid w:val="0024458A"/>
    <w:rsid w:val="00257106"/>
    <w:rsid w:val="002678FD"/>
    <w:rsid w:val="00267E23"/>
    <w:rsid w:val="002708DF"/>
    <w:rsid w:val="00270F14"/>
    <w:rsid w:val="0027361E"/>
    <w:rsid w:val="00283C35"/>
    <w:rsid w:val="00284DC5"/>
    <w:rsid w:val="0028506E"/>
    <w:rsid w:val="00291CC5"/>
    <w:rsid w:val="00295296"/>
    <w:rsid w:val="002953FD"/>
    <w:rsid w:val="002965C4"/>
    <w:rsid w:val="002A288A"/>
    <w:rsid w:val="002E3DF1"/>
    <w:rsid w:val="00304A1B"/>
    <w:rsid w:val="00307342"/>
    <w:rsid w:val="003231B8"/>
    <w:rsid w:val="00333DD3"/>
    <w:rsid w:val="00351201"/>
    <w:rsid w:val="00353049"/>
    <w:rsid w:val="003542E7"/>
    <w:rsid w:val="00354BAD"/>
    <w:rsid w:val="00355D71"/>
    <w:rsid w:val="00360304"/>
    <w:rsid w:val="00360FE7"/>
    <w:rsid w:val="00363CFB"/>
    <w:rsid w:val="003653AC"/>
    <w:rsid w:val="00371971"/>
    <w:rsid w:val="0039400E"/>
    <w:rsid w:val="003B1998"/>
    <w:rsid w:val="003B56BC"/>
    <w:rsid w:val="003B65DD"/>
    <w:rsid w:val="003C2E48"/>
    <w:rsid w:val="003C4CE6"/>
    <w:rsid w:val="003D1693"/>
    <w:rsid w:val="003D565F"/>
    <w:rsid w:val="003E28DF"/>
    <w:rsid w:val="003E6D29"/>
    <w:rsid w:val="003E77D4"/>
    <w:rsid w:val="00405AE3"/>
    <w:rsid w:val="004123C8"/>
    <w:rsid w:val="0042152E"/>
    <w:rsid w:val="004231FE"/>
    <w:rsid w:val="004238A4"/>
    <w:rsid w:val="0042465C"/>
    <w:rsid w:val="004375A1"/>
    <w:rsid w:val="00457917"/>
    <w:rsid w:val="0046351C"/>
    <w:rsid w:val="00466EF3"/>
    <w:rsid w:val="00467E08"/>
    <w:rsid w:val="00470DE2"/>
    <w:rsid w:val="00484A3F"/>
    <w:rsid w:val="00485899"/>
    <w:rsid w:val="00494E68"/>
    <w:rsid w:val="004A39CD"/>
    <w:rsid w:val="004A42A4"/>
    <w:rsid w:val="004A6551"/>
    <w:rsid w:val="004B60DF"/>
    <w:rsid w:val="004C052D"/>
    <w:rsid w:val="004C3D55"/>
    <w:rsid w:val="004E0AE2"/>
    <w:rsid w:val="004E1C84"/>
    <w:rsid w:val="0051575C"/>
    <w:rsid w:val="005269BF"/>
    <w:rsid w:val="005315E0"/>
    <w:rsid w:val="00534025"/>
    <w:rsid w:val="00537F7A"/>
    <w:rsid w:val="0055363B"/>
    <w:rsid w:val="00553700"/>
    <w:rsid w:val="00566687"/>
    <w:rsid w:val="00571776"/>
    <w:rsid w:val="00571E82"/>
    <w:rsid w:val="00573F2A"/>
    <w:rsid w:val="005866F8"/>
    <w:rsid w:val="005B57B4"/>
    <w:rsid w:val="005C1D86"/>
    <w:rsid w:val="005C4AAB"/>
    <w:rsid w:val="005C4BD3"/>
    <w:rsid w:val="005D65AD"/>
    <w:rsid w:val="005E27AC"/>
    <w:rsid w:val="005F53D6"/>
    <w:rsid w:val="005F6038"/>
    <w:rsid w:val="00606002"/>
    <w:rsid w:val="006117D3"/>
    <w:rsid w:val="006232E0"/>
    <w:rsid w:val="00632522"/>
    <w:rsid w:val="00635557"/>
    <w:rsid w:val="006416C8"/>
    <w:rsid w:val="00645219"/>
    <w:rsid w:val="0064746A"/>
    <w:rsid w:val="006625B9"/>
    <w:rsid w:val="00667CB8"/>
    <w:rsid w:val="00674C63"/>
    <w:rsid w:val="00691A11"/>
    <w:rsid w:val="006A0807"/>
    <w:rsid w:val="006A2306"/>
    <w:rsid w:val="006B30A8"/>
    <w:rsid w:val="006C32D6"/>
    <w:rsid w:val="006C3F6A"/>
    <w:rsid w:val="006C7874"/>
    <w:rsid w:val="006D0F2B"/>
    <w:rsid w:val="006D4F0F"/>
    <w:rsid w:val="006E14EB"/>
    <w:rsid w:val="006E522A"/>
    <w:rsid w:val="006F4836"/>
    <w:rsid w:val="00701085"/>
    <w:rsid w:val="007214F3"/>
    <w:rsid w:val="0073551E"/>
    <w:rsid w:val="007370EB"/>
    <w:rsid w:val="00746304"/>
    <w:rsid w:val="00753533"/>
    <w:rsid w:val="00764BDD"/>
    <w:rsid w:val="00781C14"/>
    <w:rsid w:val="007834B4"/>
    <w:rsid w:val="00792DC7"/>
    <w:rsid w:val="007A1997"/>
    <w:rsid w:val="007A31CB"/>
    <w:rsid w:val="007B0DE8"/>
    <w:rsid w:val="007B288D"/>
    <w:rsid w:val="007B4864"/>
    <w:rsid w:val="007B7385"/>
    <w:rsid w:val="007B7470"/>
    <w:rsid w:val="007D3C72"/>
    <w:rsid w:val="007D4E9D"/>
    <w:rsid w:val="007E2796"/>
    <w:rsid w:val="007E2A7A"/>
    <w:rsid w:val="007E769E"/>
    <w:rsid w:val="0081116C"/>
    <w:rsid w:val="00826B32"/>
    <w:rsid w:val="008321CA"/>
    <w:rsid w:val="00836585"/>
    <w:rsid w:val="008422D0"/>
    <w:rsid w:val="00842B05"/>
    <w:rsid w:val="00860EDF"/>
    <w:rsid w:val="008672B6"/>
    <w:rsid w:val="00872C46"/>
    <w:rsid w:val="00882288"/>
    <w:rsid w:val="00891C52"/>
    <w:rsid w:val="008A3D8F"/>
    <w:rsid w:val="008C3696"/>
    <w:rsid w:val="00904293"/>
    <w:rsid w:val="00917679"/>
    <w:rsid w:val="00924490"/>
    <w:rsid w:val="00927AD0"/>
    <w:rsid w:val="00935560"/>
    <w:rsid w:val="00970693"/>
    <w:rsid w:val="00970806"/>
    <w:rsid w:val="00971ABC"/>
    <w:rsid w:val="00993177"/>
    <w:rsid w:val="009B2E26"/>
    <w:rsid w:val="009C6C55"/>
    <w:rsid w:val="009D31F7"/>
    <w:rsid w:val="009D717E"/>
    <w:rsid w:val="009F278A"/>
    <w:rsid w:val="009F6D52"/>
    <w:rsid w:val="00A006D6"/>
    <w:rsid w:val="00A02FEA"/>
    <w:rsid w:val="00A13E86"/>
    <w:rsid w:val="00A17730"/>
    <w:rsid w:val="00A2143E"/>
    <w:rsid w:val="00A22CBC"/>
    <w:rsid w:val="00A24A80"/>
    <w:rsid w:val="00A26316"/>
    <w:rsid w:val="00A279BB"/>
    <w:rsid w:val="00A37984"/>
    <w:rsid w:val="00A437EE"/>
    <w:rsid w:val="00A45C7D"/>
    <w:rsid w:val="00A5263D"/>
    <w:rsid w:val="00A53735"/>
    <w:rsid w:val="00A6333F"/>
    <w:rsid w:val="00A64AD7"/>
    <w:rsid w:val="00A65596"/>
    <w:rsid w:val="00A7022E"/>
    <w:rsid w:val="00A726D2"/>
    <w:rsid w:val="00A850EC"/>
    <w:rsid w:val="00A85263"/>
    <w:rsid w:val="00A910F2"/>
    <w:rsid w:val="00A92A5B"/>
    <w:rsid w:val="00AA0EAC"/>
    <w:rsid w:val="00AB0F5E"/>
    <w:rsid w:val="00AB6CEA"/>
    <w:rsid w:val="00AC4D88"/>
    <w:rsid w:val="00AD32CA"/>
    <w:rsid w:val="00AD37A8"/>
    <w:rsid w:val="00AE086B"/>
    <w:rsid w:val="00AE1115"/>
    <w:rsid w:val="00AE259E"/>
    <w:rsid w:val="00B05FE4"/>
    <w:rsid w:val="00B10D7E"/>
    <w:rsid w:val="00B16236"/>
    <w:rsid w:val="00B30A57"/>
    <w:rsid w:val="00B36EC4"/>
    <w:rsid w:val="00B37605"/>
    <w:rsid w:val="00B476B7"/>
    <w:rsid w:val="00B52563"/>
    <w:rsid w:val="00B56B1B"/>
    <w:rsid w:val="00B64DF9"/>
    <w:rsid w:val="00B75DE0"/>
    <w:rsid w:val="00B7665B"/>
    <w:rsid w:val="00B8113B"/>
    <w:rsid w:val="00B83D4D"/>
    <w:rsid w:val="00B84E81"/>
    <w:rsid w:val="00B86018"/>
    <w:rsid w:val="00B913F0"/>
    <w:rsid w:val="00B93B62"/>
    <w:rsid w:val="00B9485A"/>
    <w:rsid w:val="00BA5B3B"/>
    <w:rsid w:val="00BC368D"/>
    <w:rsid w:val="00BE4BFD"/>
    <w:rsid w:val="00BF0817"/>
    <w:rsid w:val="00BF1095"/>
    <w:rsid w:val="00C14B83"/>
    <w:rsid w:val="00C16469"/>
    <w:rsid w:val="00C21FC9"/>
    <w:rsid w:val="00C33FB0"/>
    <w:rsid w:val="00C447E7"/>
    <w:rsid w:val="00C5555C"/>
    <w:rsid w:val="00C55CCC"/>
    <w:rsid w:val="00C73B6A"/>
    <w:rsid w:val="00C810CF"/>
    <w:rsid w:val="00C87B3D"/>
    <w:rsid w:val="00C94D25"/>
    <w:rsid w:val="00C96763"/>
    <w:rsid w:val="00CB2BAA"/>
    <w:rsid w:val="00CB2F01"/>
    <w:rsid w:val="00CB64D5"/>
    <w:rsid w:val="00CC0E1A"/>
    <w:rsid w:val="00CD4510"/>
    <w:rsid w:val="00CD508D"/>
    <w:rsid w:val="00CD57C6"/>
    <w:rsid w:val="00CE0376"/>
    <w:rsid w:val="00CF3F92"/>
    <w:rsid w:val="00CF544A"/>
    <w:rsid w:val="00CF6640"/>
    <w:rsid w:val="00D33828"/>
    <w:rsid w:val="00D520E2"/>
    <w:rsid w:val="00D52419"/>
    <w:rsid w:val="00D57024"/>
    <w:rsid w:val="00D60131"/>
    <w:rsid w:val="00D61334"/>
    <w:rsid w:val="00D628F3"/>
    <w:rsid w:val="00D75FA1"/>
    <w:rsid w:val="00D774F2"/>
    <w:rsid w:val="00D80849"/>
    <w:rsid w:val="00D8291A"/>
    <w:rsid w:val="00D834E8"/>
    <w:rsid w:val="00DA36D7"/>
    <w:rsid w:val="00DA7727"/>
    <w:rsid w:val="00DB0A8A"/>
    <w:rsid w:val="00DB0C12"/>
    <w:rsid w:val="00DB1CD3"/>
    <w:rsid w:val="00DC0757"/>
    <w:rsid w:val="00DC1AE1"/>
    <w:rsid w:val="00DD1225"/>
    <w:rsid w:val="00DD7ABB"/>
    <w:rsid w:val="00DF1D24"/>
    <w:rsid w:val="00DF479B"/>
    <w:rsid w:val="00E0288C"/>
    <w:rsid w:val="00E034E2"/>
    <w:rsid w:val="00E11C5A"/>
    <w:rsid w:val="00E13104"/>
    <w:rsid w:val="00E176BE"/>
    <w:rsid w:val="00E17A4E"/>
    <w:rsid w:val="00E223D7"/>
    <w:rsid w:val="00E24BF9"/>
    <w:rsid w:val="00E26847"/>
    <w:rsid w:val="00E31B00"/>
    <w:rsid w:val="00E677F3"/>
    <w:rsid w:val="00E813B1"/>
    <w:rsid w:val="00E84757"/>
    <w:rsid w:val="00E8565C"/>
    <w:rsid w:val="00E92BCC"/>
    <w:rsid w:val="00EA5B6C"/>
    <w:rsid w:val="00EA5CC5"/>
    <w:rsid w:val="00EB23C8"/>
    <w:rsid w:val="00EB2941"/>
    <w:rsid w:val="00EC3A20"/>
    <w:rsid w:val="00ED0CD0"/>
    <w:rsid w:val="00ED5A67"/>
    <w:rsid w:val="00EE03D5"/>
    <w:rsid w:val="00EE6B9F"/>
    <w:rsid w:val="00EF04F5"/>
    <w:rsid w:val="00EF11B4"/>
    <w:rsid w:val="00EF6BB1"/>
    <w:rsid w:val="00EF752C"/>
    <w:rsid w:val="00F04109"/>
    <w:rsid w:val="00F071B9"/>
    <w:rsid w:val="00F13787"/>
    <w:rsid w:val="00F21B77"/>
    <w:rsid w:val="00F22DD2"/>
    <w:rsid w:val="00F279E6"/>
    <w:rsid w:val="00F313AE"/>
    <w:rsid w:val="00F36149"/>
    <w:rsid w:val="00F44CFD"/>
    <w:rsid w:val="00F52074"/>
    <w:rsid w:val="00F61E1C"/>
    <w:rsid w:val="00F6756A"/>
    <w:rsid w:val="00F8230C"/>
    <w:rsid w:val="00F94B1D"/>
    <w:rsid w:val="00F94B9A"/>
    <w:rsid w:val="00F97287"/>
    <w:rsid w:val="00FA0010"/>
    <w:rsid w:val="00FD0B9C"/>
    <w:rsid w:val="00FD4252"/>
    <w:rsid w:val="00FD42B8"/>
    <w:rsid w:val="00FF1BE2"/>
    <w:rsid w:val="00FF2E48"/>
    <w:rsid w:val="00FF4367"/>
    <w:rsid w:val="00FF615C"/>
    <w:rsid w:val="4F4C3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ED08"/>
  <w15:chartTrackingRefBased/>
  <w15:docId w15:val="{1E053113-BB4C-42C0-AB5A-C498C225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18"/>
    <w:pPr>
      <w:spacing w:line="269" w:lineRule="auto"/>
    </w:pPr>
  </w:style>
  <w:style w:type="paragraph" w:styleId="Heading1">
    <w:name w:val="heading 1"/>
    <w:basedOn w:val="Normal"/>
    <w:next w:val="Normal"/>
    <w:link w:val="Heading1Char"/>
    <w:uiPriority w:val="9"/>
    <w:qFormat/>
    <w:rsid w:val="00566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687"/>
    <w:rPr>
      <w:rFonts w:eastAsiaTheme="majorEastAsia" w:cstheme="majorBidi"/>
      <w:color w:val="272727" w:themeColor="text1" w:themeTint="D8"/>
    </w:rPr>
  </w:style>
  <w:style w:type="paragraph" w:styleId="Title">
    <w:name w:val="Title"/>
    <w:basedOn w:val="Normal"/>
    <w:next w:val="Normal"/>
    <w:link w:val="TitleChar"/>
    <w:uiPriority w:val="10"/>
    <w:qFormat/>
    <w:rsid w:val="00566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687"/>
    <w:pPr>
      <w:spacing w:before="160"/>
      <w:jc w:val="center"/>
    </w:pPr>
    <w:rPr>
      <w:i/>
      <w:iCs/>
      <w:color w:val="404040" w:themeColor="text1" w:themeTint="BF"/>
    </w:rPr>
  </w:style>
  <w:style w:type="character" w:customStyle="1" w:styleId="QuoteChar">
    <w:name w:val="Quote Char"/>
    <w:basedOn w:val="DefaultParagraphFont"/>
    <w:link w:val="Quote"/>
    <w:uiPriority w:val="29"/>
    <w:rsid w:val="00566687"/>
    <w:rPr>
      <w:i/>
      <w:iCs/>
      <w:color w:val="404040" w:themeColor="text1" w:themeTint="BF"/>
    </w:rPr>
  </w:style>
  <w:style w:type="paragraph" w:styleId="ListParagraph">
    <w:name w:val="List Paragraph"/>
    <w:aliases w:val="NFP GP Bulleted List,List Paragraph1,Recommendation,List Paragraph11,List Paragraph2,L,AR bullet 1,List Paragraph Number,Bullet point,Content descriptions,Bullet Point,dot point List Paragraph,Number Paragraph,Bullet points,Bullet Points"/>
    <w:basedOn w:val="Normal"/>
    <w:link w:val="ListParagraphChar"/>
    <w:uiPriority w:val="34"/>
    <w:qFormat/>
    <w:rsid w:val="00566687"/>
    <w:pPr>
      <w:ind w:left="720"/>
      <w:contextualSpacing/>
    </w:pPr>
  </w:style>
  <w:style w:type="character" w:styleId="IntenseEmphasis">
    <w:name w:val="Intense Emphasis"/>
    <w:basedOn w:val="DefaultParagraphFont"/>
    <w:uiPriority w:val="21"/>
    <w:qFormat/>
    <w:rsid w:val="00566687"/>
    <w:rPr>
      <w:i/>
      <w:iCs/>
      <w:color w:val="0F4761" w:themeColor="accent1" w:themeShade="BF"/>
    </w:rPr>
  </w:style>
  <w:style w:type="paragraph" w:styleId="IntenseQuote">
    <w:name w:val="Intense Quote"/>
    <w:basedOn w:val="Normal"/>
    <w:next w:val="Normal"/>
    <w:link w:val="IntenseQuoteChar"/>
    <w:uiPriority w:val="30"/>
    <w:qFormat/>
    <w:rsid w:val="00566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687"/>
    <w:rPr>
      <w:i/>
      <w:iCs/>
      <w:color w:val="0F4761" w:themeColor="accent1" w:themeShade="BF"/>
    </w:rPr>
  </w:style>
  <w:style w:type="character" w:styleId="IntenseReference">
    <w:name w:val="Intense Reference"/>
    <w:basedOn w:val="DefaultParagraphFont"/>
    <w:uiPriority w:val="32"/>
    <w:qFormat/>
    <w:rsid w:val="00566687"/>
    <w:rPr>
      <w:b/>
      <w:bCs/>
      <w:smallCaps/>
      <w:color w:val="0F4761" w:themeColor="accent1" w:themeShade="BF"/>
      <w:spacing w:val="5"/>
    </w:rPr>
  </w:style>
  <w:style w:type="character" w:customStyle="1" w:styleId="ListParagraphChar">
    <w:name w:val="List Paragraph Char"/>
    <w:aliases w:val="NFP GP Bulleted List Char,List Paragraph1 Char,Recommendation Char,List Paragraph11 Char,List Paragraph2 Char,L Char,AR bullet 1 Char,List Paragraph Number Char,Bullet point Char,Content descriptions Char,Bullet Point Char"/>
    <w:basedOn w:val="DefaultParagraphFont"/>
    <w:link w:val="ListParagraph"/>
    <w:uiPriority w:val="34"/>
    <w:locked/>
    <w:rsid w:val="00566687"/>
  </w:style>
  <w:style w:type="character" w:styleId="Hyperlink">
    <w:name w:val="Hyperlink"/>
    <w:basedOn w:val="DefaultParagraphFont"/>
    <w:uiPriority w:val="99"/>
    <w:unhideWhenUsed/>
    <w:rsid w:val="00566687"/>
    <w:rPr>
      <w:color w:val="467886" w:themeColor="hyperlink"/>
      <w:u w:val="single"/>
    </w:rPr>
  </w:style>
  <w:style w:type="character" w:styleId="UnresolvedMention">
    <w:name w:val="Unresolved Mention"/>
    <w:basedOn w:val="DefaultParagraphFont"/>
    <w:uiPriority w:val="99"/>
    <w:semiHidden/>
    <w:unhideWhenUsed/>
    <w:rsid w:val="00566687"/>
    <w:rPr>
      <w:color w:val="605E5C"/>
      <w:shd w:val="clear" w:color="auto" w:fill="E1DFDD"/>
    </w:rPr>
  </w:style>
  <w:style w:type="character" w:styleId="FootnoteReference">
    <w:name w:val="footnote reference"/>
    <w:basedOn w:val="DefaultParagraphFont"/>
    <w:uiPriority w:val="99"/>
    <w:semiHidden/>
    <w:unhideWhenUsed/>
    <w:rsid w:val="00566687"/>
    <w:rPr>
      <w:vertAlign w:val="superscript"/>
    </w:rPr>
  </w:style>
  <w:style w:type="paragraph" w:styleId="Caption">
    <w:name w:val="caption"/>
    <w:basedOn w:val="Normal"/>
    <w:next w:val="Normal"/>
    <w:uiPriority w:val="35"/>
    <w:semiHidden/>
    <w:unhideWhenUsed/>
    <w:qFormat/>
    <w:rsid w:val="00566687"/>
    <w:pPr>
      <w:spacing w:after="200" w:line="240" w:lineRule="auto"/>
    </w:pPr>
    <w:rPr>
      <w:i/>
      <w:iCs/>
      <w:color w:val="0E2841" w:themeColor="text2"/>
      <w:kern w:val="0"/>
      <w:sz w:val="18"/>
      <w:szCs w:val="18"/>
      <w14:ligatures w14:val="none"/>
    </w:rPr>
  </w:style>
  <w:style w:type="paragraph" w:styleId="FootnoteText">
    <w:name w:val="footnote text"/>
    <w:basedOn w:val="Normal"/>
    <w:link w:val="FootnoteTextChar"/>
    <w:uiPriority w:val="99"/>
    <w:semiHidden/>
    <w:unhideWhenUsed/>
    <w:rsid w:val="00632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522"/>
    <w:rPr>
      <w:sz w:val="20"/>
      <w:szCs w:val="20"/>
    </w:rPr>
  </w:style>
  <w:style w:type="paragraph" w:styleId="Revision">
    <w:name w:val="Revision"/>
    <w:hidden/>
    <w:uiPriority w:val="99"/>
    <w:semiHidden/>
    <w:rsid w:val="00196FA3"/>
    <w:pPr>
      <w:spacing w:after="0" w:line="240" w:lineRule="auto"/>
    </w:pPr>
  </w:style>
  <w:style w:type="character" w:styleId="CommentReference">
    <w:name w:val="annotation reference"/>
    <w:basedOn w:val="DefaultParagraphFont"/>
    <w:uiPriority w:val="99"/>
    <w:semiHidden/>
    <w:unhideWhenUsed/>
    <w:rsid w:val="0042465C"/>
    <w:rPr>
      <w:sz w:val="16"/>
      <w:szCs w:val="16"/>
    </w:rPr>
  </w:style>
  <w:style w:type="paragraph" w:styleId="CommentText">
    <w:name w:val="annotation text"/>
    <w:basedOn w:val="Normal"/>
    <w:link w:val="CommentTextChar"/>
    <w:uiPriority w:val="99"/>
    <w:unhideWhenUsed/>
    <w:rsid w:val="0042465C"/>
    <w:pPr>
      <w:spacing w:line="240" w:lineRule="auto"/>
    </w:pPr>
    <w:rPr>
      <w:sz w:val="20"/>
      <w:szCs w:val="20"/>
    </w:rPr>
  </w:style>
  <w:style w:type="character" w:customStyle="1" w:styleId="CommentTextChar">
    <w:name w:val="Comment Text Char"/>
    <w:basedOn w:val="DefaultParagraphFont"/>
    <w:link w:val="CommentText"/>
    <w:uiPriority w:val="99"/>
    <w:rsid w:val="0042465C"/>
    <w:rPr>
      <w:sz w:val="20"/>
      <w:szCs w:val="20"/>
    </w:rPr>
  </w:style>
  <w:style w:type="paragraph" w:styleId="CommentSubject">
    <w:name w:val="annotation subject"/>
    <w:basedOn w:val="CommentText"/>
    <w:next w:val="CommentText"/>
    <w:link w:val="CommentSubjectChar"/>
    <w:uiPriority w:val="99"/>
    <w:semiHidden/>
    <w:unhideWhenUsed/>
    <w:rsid w:val="0042465C"/>
    <w:rPr>
      <w:b/>
      <w:bCs/>
    </w:rPr>
  </w:style>
  <w:style w:type="character" w:customStyle="1" w:styleId="CommentSubjectChar">
    <w:name w:val="Comment Subject Char"/>
    <w:basedOn w:val="CommentTextChar"/>
    <w:link w:val="CommentSubject"/>
    <w:uiPriority w:val="99"/>
    <w:semiHidden/>
    <w:rsid w:val="0042465C"/>
    <w:rPr>
      <w:b/>
      <w:bCs/>
      <w:sz w:val="20"/>
      <w:szCs w:val="20"/>
    </w:rPr>
  </w:style>
  <w:style w:type="paragraph" w:styleId="EndnoteText">
    <w:name w:val="endnote text"/>
    <w:basedOn w:val="Normal"/>
    <w:link w:val="EndnoteTextChar"/>
    <w:uiPriority w:val="99"/>
    <w:semiHidden/>
    <w:unhideWhenUsed/>
    <w:rsid w:val="00ED0C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0CD0"/>
    <w:rPr>
      <w:sz w:val="20"/>
      <w:szCs w:val="20"/>
    </w:rPr>
  </w:style>
  <w:style w:type="character" w:styleId="EndnoteReference">
    <w:name w:val="endnote reference"/>
    <w:basedOn w:val="DefaultParagraphFont"/>
    <w:uiPriority w:val="99"/>
    <w:semiHidden/>
    <w:unhideWhenUsed/>
    <w:rsid w:val="00ED0CD0"/>
    <w:rPr>
      <w:vertAlign w:val="superscript"/>
    </w:rPr>
  </w:style>
  <w:style w:type="character" w:customStyle="1" w:styleId="id-label">
    <w:name w:val="id-label"/>
    <w:basedOn w:val="DefaultParagraphFont"/>
    <w:rsid w:val="00EF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816">
      <w:bodyDiv w:val="1"/>
      <w:marLeft w:val="0"/>
      <w:marRight w:val="0"/>
      <w:marTop w:val="0"/>
      <w:marBottom w:val="0"/>
      <w:divBdr>
        <w:top w:val="none" w:sz="0" w:space="0" w:color="auto"/>
        <w:left w:val="none" w:sz="0" w:space="0" w:color="auto"/>
        <w:bottom w:val="none" w:sz="0" w:space="0" w:color="auto"/>
        <w:right w:val="none" w:sz="0" w:space="0" w:color="auto"/>
      </w:divBdr>
    </w:div>
    <w:div w:id="74129848">
      <w:bodyDiv w:val="1"/>
      <w:marLeft w:val="0"/>
      <w:marRight w:val="0"/>
      <w:marTop w:val="0"/>
      <w:marBottom w:val="0"/>
      <w:divBdr>
        <w:top w:val="none" w:sz="0" w:space="0" w:color="auto"/>
        <w:left w:val="none" w:sz="0" w:space="0" w:color="auto"/>
        <w:bottom w:val="none" w:sz="0" w:space="0" w:color="auto"/>
        <w:right w:val="none" w:sz="0" w:space="0" w:color="auto"/>
      </w:divBdr>
    </w:div>
    <w:div w:id="117920593">
      <w:bodyDiv w:val="1"/>
      <w:marLeft w:val="0"/>
      <w:marRight w:val="0"/>
      <w:marTop w:val="0"/>
      <w:marBottom w:val="0"/>
      <w:divBdr>
        <w:top w:val="none" w:sz="0" w:space="0" w:color="auto"/>
        <w:left w:val="none" w:sz="0" w:space="0" w:color="auto"/>
        <w:bottom w:val="none" w:sz="0" w:space="0" w:color="auto"/>
        <w:right w:val="none" w:sz="0" w:space="0" w:color="auto"/>
      </w:divBdr>
    </w:div>
    <w:div w:id="302857472">
      <w:bodyDiv w:val="1"/>
      <w:marLeft w:val="0"/>
      <w:marRight w:val="0"/>
      <w:marTop w:val="0"/>
      <w:marBottom w:val="0"/>
      <w:divBdr>
        <w:top w:val="none" w:sz="0" w:space="0" w:color="auto"/>
        <w:left w:val="none" w:sz="0" w:space="0" w:color="auto"/>
        <w:bottom w:val="none" w:sz="0" w:space="0" w:color="auto"/>
        <w:right w:val="none" w:sz="0" w:space="0" w:color="auto"/>
      </w:divBdr>
    </w:div>
    <w:div w:id="486241311">
      <w:bodyDiv w:val="1"/>
      <w:marLeft w:val="0"/>
      <w:marRight w:val="0"/>
      <w:marTop w:val="0"/>
      <w:marBottom w:val="0"/>
      <w:divBdr>
        <w:top w:val="none" w:sz="0" w:space="0" w:color="auto"/>
        <w:left w:val="none" w:sz="0" w:space="0" w:color="auto"/>
        <w:bottom w:val="none" w:sz="0" w:space="0" w:color="auto"/>
        <w:right w:val="none" w:sz="0" w:space="0" w:color="auto"/>
      </w:divBdr>
    </w:div>
    <w:div w:id="624458859">
      <w:bodyDiv w:val="1"/>
      <w:marLeft w:val="0"/>
      <w:marRight w:val="0"/>
      <w:marTop w:val="0"/>
      <w:marBottom w:val="0"/>
      <w:divBdr>
        <w:top w:val="none" w:sz="0" w:space="0" w:color="auto"/>
        <w:left w:val="none" w:sz="0" w:space="0" w:color="auto"/>
        <w:bottom w:val="none" w:sz="0" w:space="0" w:color="auto"/>
        <w:right w:val="none" w:sz="0" w:space="0" w:color="auto"/>
      </w:divBdr>
    </w:div>
    <w:div w:id="791283723">
      <w:bodyDiv w:val="1"/>
      <w:marLeft w:val="0"/>
      <w:marRight w:val="0"/>
      <w:marTop w:val="0"/>
      <w:marBottom w:val="0"/>
      <w:divBdr>
        <w:top w:val="none" w:sz="0" w:space="0" w:color="auto"/>
        <w:left w:val="none" w:sz="0" w:space="0" w:color="auto"/>
        <w:bottom w:val="none" w:sz="0" w:space="0" w:color="auto"/>
        <w:right w:val="none" w:sz="0" w:space="0" w:color="auto"/>
      </w:divBdr>
    </w:div>
    <w:div w:id="990594582">
      <w:bodyDiv w:val="1"/>
      <w:marLeft w:val="0"/>
      <w:marRight w:val="0"/>
      <w:marTop w:val="0"/>
      <w:marBottom w:val="0"/>
      <w:divBdr>
        <w:top w:val="none" w:sz="0" w:space="0" w:color="auto"/>
        <w:left w:val="none" w:sz="0" w:space="0" w:color="auto"/>
        <w:bottom w:val="none" w:sz="0" w:space="0" w:color="auto"/>
        <w:right w:val="none" w:sz="0" w:space="0" w:color="auto"/>
      </w:divBdr>
    </w:div>
    <w:div w:id="1074007354">
      <w:bodyDiv w:val="1"/>
      <w:marLeft w:val="0"/>
      <w:marRight w:val="0"/>
      <w:marTop w:val="0"/>
      <w:marBottom w:val="0"/>
      <w:divBdr>
        <w:top w:val="none" w:sz="0" w:space="0" w:color="auto"/>
        <w:left w:val="none" w:sz="0" w:space="0" w:color="auto"/>
        <w:bottom w:val="none" w:sz="0" w:space="0" w:color="auto"/>
        <w:right w:val="none" w:sz="0" w:space="0" w:color="auto"/>
      </w:divBdr>
    </w:div>
    <w:div w:id="1445659689">
      <w:bodyDiv w:val="1"/>
      <w:marLeft w:val="0"/>
      <w:marRight w:val="0"/>
      <w:marTop w:val="0"/>
      <w:marBottom w:val="0"/>
      <w:divBdr>
        <w:top w:val="none" w:sz="0" w:space="0" w:color="auto"/>
        <w:left w:val="none" w:sz="0" w:space="0" w:color="auto"/>
        <w:bottom w:val="none" w:sz="0" w:space="0" w:color="auto"/>
        <w:right w:val="none" w:sz="0" w:space="0" w:color="auto"/>
      </w:divBdr>
    </w:div>
    <w:div w:id="21394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rah@sarrah.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b0561b18fd0b407ba7c21f42b2d2de7e.r2.dev/TAHRGETS%20Evaluation%20Report_Published.pdf" TargetMode="External"/><Relationship Id="rId5" Type="http://schemas.openxmlformats.org/officeDocument/2006/relationships/webSettings" Target="webSettings.xml"/><Relationship Id="rId10" Type="http://schemas.openxmlformats.org/officeDocument/2006/relationships/hyperlink" Target="https://sarrah.org.au/tahrge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ruralhealth.org.au/13nrhc/images/B1_Tarun_Sen_Gupta.pdf" TargetMode="External"/><Relationship Id="rId2" Type="http://schemas.openxmlformats.org/officeDocument/2006/relationships/hyperlink" Target="https://doi.org/10.22605/rrh8557" TargetMode="External"/><Relationship Id="rId1" Type="http://schemas.openxmlformats.org/officeDocument/2006/relationships/hyperlink" Target="https://doi.org/10.22605/rrh5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7205-EF6F-41CA-BDBB-26B74622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Stuart</dc:creator>
  <cp:keywords/>
  <dc:description/>
  <cp:lastModifiedBy>Catherine Maloney</cp:lastModifiedBy>
  <cp:revision>2</cp:revision>
  <dcterms:created xsi:type="dcterms:W3CDTF">2025-08-26T02:18:00Z</dcterms:created>
  <dcterms:modified xsi:type="dcterms:W3CDTF">2025-08-26T02:18:00Z</dcterms:modified>
</cp:coreProperties>
</file>